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w:t>
      </w:r>
      <w:r>
        <w:rPr>
          <w:rFonts w:hint="eastAsia" w:ascii="Arial" w:hAnsi="Arial" w:cs="Arial"/>
          <w:b/>
          <w:color w:val="auto"/>
          <w:sz w:val="24"/>
          <w:szCs w:val="24"/>
          <w:lang w:val="en-US" w:eastAsia="zh-CN"/>
        </w:rPr>
        <w:t>510981</w:t>
      </w:r>
      <w:bookmarkStart w:id="7" w:name="_GoBack"/>
      <w:bookmarkEnd w:id="7"/>
    </w:p>
    <w:bookmarkEnd w:id="2"/>
    <w:p>
      <w:pPr>
        <w:pStyle w:val="19"/>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Bangalore</w:t>
      </w:r>
      <w:r>
        <w:rPr>
          <w:rFonts w:hint="eastAsia" w:ascii="Arial" w:hAnsi="Arial" w:eastAsia="宋体" w:cs="Arial"/>
          <w:b/>
          <w:color w:val="auto"/>
          <w:sz w:val="24"/>
          <w:szCs w:val="24"/>
          <w:lang w:eastAsia="zh-CN"/>
        </w:rPr>
        <w:t>, India, 25th – 29th August 2025</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UE and BS demodulation and CSI performance requirements for 7MHz channel bandwidth</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7.4.6</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#106 meeting, a new WID on 7 MHz Channel Bandwidth for n26 and n5 was approved in [1], wherein the objectives related to 7MHz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default" w:eastAsia="Times New Roman"/>
                <w:szCs w:val="20"/>
                <w:lang w:eastAsia="zh-CN"/>
              </w:rPr>
              <w:t>Specify the generic core requirements to support 7 MHz NR FR1 channel bandwidth [RAN4]</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eastAsia" w:eastAsia="Times New Roman"/>
                <w:szCs w:val="20"/>
                <w:lang w:eastAsia="zh-CN"/>
              </w:rPr>
              <w:t>I</w:t>
            </w:r>
            <w:r>
              <w:rPr>
                <w:rFonts w:hint="default" w:eastAsia="Times New Roman"/>
                <w:szCs w:val="20"/>
                <w:lang w:eastAsia="zh-CN"/>
              </w:rPr>
              <w:t>ntroduce the channel bandwidth 7MHz</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default" w:eastAsia="Times New Roman"/>
                <w:szCs w:val="20"/>
                <w:lang w:eastAsia="zh-CN"/>
              </w:rPr>
              <w:t>Only include 15 kHz SCS</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eastAsia" w:eastAsia="Times New Roman"/>
                <w:szCs w:val="20"/>
                <w:lang w:eastAsia="zh-CN"/>
              </w:rPr>
              <w:t>Specify the spectrum utilization</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eastAsia" w:eastAsia="Times New Roman"/>
                <w:szCs w:val="20"/>
                <w:lang w:eastAsia="zh-CN"/>
              </w:rPr>
              <w:t>Specify UE RF requirements for UL and DL</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eastAsia" w:eastAsia="Times New Roman"/>
                <w:szCs w:val="20"/>
                <w:lang w:eastAsia="zh-CN"/>
              </w:rPr>
              <w:t xml:space="preserve">Specify </w:t>
            </w:r>
            <w:bookmarkStart w:id="3" w:name="OLE_LINK28"/>
            <w:r>
              <w:rPr>
                <w:rFonts w:hint="eastAsia" w:eastAsia="Times New Roman"/>
                <w:szCs w:val="20"/>
                <w:lang w:eastAsia="zh-CN"/>
              </w:rPr>
              <w:t>BS RF requirements for UL and DL</w:t>
            </w:r>
            <w:bookmarkEnd w:id="3"/>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right="0"/>
              <w:textAlignment w:val="baseline"/>
              <w:rPr>
                <w:rFonts w:hint="default" w:eastAsia="Times New Roman"/>
                <w:szCs w:val="20"/>
                <w:lang w:eastAsia="zh-CN"/>
              </w:rPr>
            </w:pPr>
            <w:r>
              <w:rPr>
                <w:rFonts w:hint="default" w:eastAsia="Times New Roman"/>
                <w:szCs w:val="20"/>
                <w:lang w:eastAsia="zh-CN"/>
              </w:rPr>
              <w:t>Specify the band specific core requirements to introduce 7 MHz for NR band n5, n26</w:t>
            </w:r>
            <w:r>
              <w:rPr>
                <w:rFonts w:hint="default" w:eastAsia="Times New Roman"/>
                <w:szCs w:val="20"/>
                <w:lang w:eastAsia="ko-KR"/>
              </w:rPr>
              <w:t>. [RAN4]</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right="0"/>
              <w:textAlignment w:val="auto"/>
              <w:rPr>
                <w:rFonts w:hint="default" w:eastAsia="Times New Roman"/>
                <w:bCs/>
                <w:szCs w:val="20"/>
              </w:rPr>
            </w:pPr>
            <w:bookmarkStart w:id="4" w:name="OLE_LINK29"/>
            <w:r>
              <w:rPr>
                <w:rFonts w:hint="default" w:eastAsia="Times New Roman"/>
                <w:bCs/>
                <w:szCs w:val="20"/>
              </w:rPr>
              <w:t>BS and UE Channel bandwidth per operating band</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right="0"/>
              <w:textAlignment w:val="auto"/>
              <w:rPr>
                <w:rFonts w:hint="default" w:eastAsia="Times New Roman"/>
                <w:bCs/>
                <w:szCs w:val="20"/>
              </w:rPr>
            </w:pPr>
            <w:r>
              <w:rPr>
                <w:rFonts w:hint="default" w:eastAsia="Times New Roman"/>
                <w:bCs/>
                <w:szCs w:val="20"/>
              </w:rPr>
              <w:t>UE reference sensitivity</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right="0"/>
              <w:textAlignment w:val="auto"/>
              <w:rPr>
                <w:rFonts w:hint="default" w:eastAsia="Times New Roman"/>
                <w:bCs/>
                <w:szCs w:val="20"/>
              </w:rPr>
            </w:pPr>
            <w:r>
              <w:rPr>
                <w:rFonts w:hint="default" w:eastAsia="Times New Roman"/>
                <w:bCs/>
                <w:szCs w:val="20"/>
              </w:rPr>
              <w:t>When needed:</w:t>
            </w:r>
          </w:p>
          <w:p>
            <w:pPr>
              <w:keepNext w:val="0"/>
              <w:keepLines w:val="0"/>
              <w:widowControl/>
              <w:numPr>
                <w:ilvl w:val="2"/>
                <w:numId w:val="9"/>
              </w:numPr>
              <w:suppressLineNumbers w:val="0"/>
              <w:overflowPunct w:val="0"/>
              <w:autoSpaceDE w:val="0"/>
              <w:autoSpaceDN w:val="0"/>
              <w:adjustRightInd w:val="0"/>
              <w:spacing w:before="0" w:beforeAutospacing="0" w:after="0" w:afterAutospacing="0"/>
              <w:ind w:right="0"/>
              <w:textAlignment w:val="auto"/>
              <w:rPr>
                <w:rFonts w:hint="default" w:eastAsia="Times New Roman"/>
                <w:bCs/>
                <w:szCs w:val="20"/>
              </w:rPr>
            </w:pPr>
            <w:r>
              <w:rPr>
                <w:rFonts w:hint="default" w:eastAsia="Times New Roman"/>
                <w:bCs/>
                <w:szCs w:val="20"/>
              </w:rPr>
              <w:t>MPR (</w:t>
            </w:r>
            <w:bookmarkStart w:id="5" w:name="OLE_LINK55"/>
            <w:r>
              <w:rPr>
                <w:rFonts w:hint="default" w:eastAsia="Times New Roman"/>
                <w:bCs/>
                <w:szCs w:val="20"/>
              </w:rPr>
              <w:t>relative bandwidth</w:t>
            </w:r>
            <w:bookmarkEnd w:id="5"/>
            <w:r>
              <w:rPr>
                <w:rFonts w:hint="default" w:eastAsia="Times New Roman"/>
                <w:bCs/>
                <w:szCs w:val="20"/>
              </w:rPr>
              <w:t xml:space="preserve"> criteria)</w:t>
            </w:r>
          </w:p>
          <w:p>
            <w:pPr>
              <w:keepNext w:val="0"/>
              <w:keepLines w:val="0"/>
              <w:widowControl/>
              <w:numPr>
                <w:ilvl w:val="2"/>
                <w:numId w:val="9"/>
              </w:numPr>
              <w:suppressLineNumbers w:val="0"/>
              <w:overflowPunct w:val="0"/>
              <w:autoSpaceDE w:val="0"/>
              <w:autoSpaceDN w:val="0"/>
              <w:adjustRightInd w:val="0"/>
              <w:spacing w:before="0" w:beforeAutospacing="0" w:after="0" w:afterAutospacing="0"/>
              <w:ind w:right="0"/>
              <w:textAlignment w:val="auto"/>
              <w:rPr>
                <w:rFonts w:hint="default" w:cs="Times New Roman"/>
                <w:sz w:val="20"/>
                <w:szCs w:val="20"/>
                <w:vertAlign w:val="baseline"/>
                <w:lang w:val="en-US" w:eastAsia="zh-CN"/>
              </w:rPr>
            </w:pPr>
            <w:r>
              <w:rPr>
                <w:rFonts w:hint="default" w:eastAsia="Times New Roman"/>
                <w:bCs/>
                <w:szCs w:val="20"/>
              </w:rPr>
              <w:t>Additional Maximum Power Reduction (A-MPR)</w:t>
            </w:r>
            <w:bookmarkEnd w:id="4"/>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In the following section, we will provide the detailed discussions for 7MHz UE and BS demodulation requirements according to the last meeting agreements[2].</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eastAsia"/>
          <w:b w:val="0"/>
          <w:bCs w:val="0"/>
          <w:i w:val="0"/>
          <w:iCs w:val="0"/>
          <w:szCs w:val="21"/>
          <w:lang w:val="en-US" w:eastAsia="zh-CN"/>
        </w:rPr>
      </w:pPr>
      <w:r>
        <w:rPr>
          <w:rFonts w:hint="default"/>
          <w:b w:val="0"/>
          <w:bCs w:val="0"/>
          <w:i w:val="0"/>
          <w:iCs w:val="0"/>
          <w:szCs w:val="21"/>
          <w:lang w:val="en-US" w:eastAsia="zh-CN"/>
        </w:rPr>
        <w:t>With the introduction of 5GNR, the channel bandwidths were limited to increments of 5 MHz. Now that the 3 MHz channel bandwidth has been added, there is the possibility of coverage of additional operator’s spectrum including 8 and 13 MHz via CA, but there is still not a good way to cover other channel bandwidths that have been requested by operators including 6, 7, 11, 12 and 13 MHz. Given the large investment in spectrum, especially low band spectrum, it is critical that operators have a way to efficiently utilize all their spectrum.</w:t>
      </w:r>
      <w:r>
        <w:rPr>
          <w:rFonts w:hint="eastAsia"/>
          <w:b w:val="0"/>
          <w:bCs w:val="0"/>
          <w:i w:val="0"/>
          <w:iCs w:val="0"/>
          <w:szCs w:val="21"/>
          <w:lang w:val="en-US" w:eastAsia="zh-CN"/>
        </w:rPr>
        <w:t xml:space="preserve"> While several approaches were initially proposed for this WID, the agreement was to include only native 7 MHz channel bandwidths for n5 and n26 in Rel-19. </w:t>
      </w:r>
    </w:p>
    <w:p>
      <w:pPr>
        <w:keepNext w:val="0"/>
        <w:keepLines w:val="0"/>
        <w:pageBreakBefore w:val="0"/>
        <w:widowControl w:val="0"/>
        <w:kinsoku/>
        <w:wordWrap/>
        <w:topLinePunct w:val="0"/>
        <w:bidi w:val="0"/>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UE demodulation requirements</w:t>
      </w:r>
    </w:p>
    <w:p>
      <w:pPr>
        <w:rPr>
          <w:b/>
          <w:u w:val="single"/>
          <w:lang w:eastAsia="ko-KR"/>
        </w:rPr>
      </w:pPr>
      <w:r>
        <w:rPr>
          <w:b/>
          <w:u w:val="single"/>
          <w:lang w:eastAsia="ko-KR"/>
        </w:rPr>
        <w:t xml:space="preserve">Whether to define PDSCH CA requirments for 7MHz bandwidth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lang w:eastAsia="zh-CN"/>
              </w:rPr>
            </w:pPr>
            <w:r>
              <w:rPr>
                <w:rFonts w:hint="default"/>
                <w:sz w:val="21"/>
                <w:szCs w:val="21"/>
                <w:lang w:eastAsia="zh-CN"/>
              </w:rPr>
              <w:t>Agreements:</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eastAsia="zh-CN"/>
              </w:rPr>
            </w:pPr>
            <w:r>
              <w:rPr>
                <w:rFonts w:hint="eastAsia"/>
                <w:sz w:val="21"/>
                <w:szCs w:val="21"/>
                <w:lang w:eastAsia="zh-CN"/>
              </w:rPr>
              <w:t>D</w:t>
            </w:r>
            <w:r>
              <w:rPr>
                <w:rFonts w:hint="default"/>
                <w:sz w:val="21"/>
                <w:szCs w:val="21"/>
                <w:lang w:eastAsia="zh-CN"/>
              </w:rPr>
              <w:t>efine normal PDSCH type A CA requirements for 7MHz</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eastAsia" w:eastAsiaTheme="minorEastAsia"/>
                <w:sz w:val="21"/>
                <w:szCs w:val="21"/>
                <w:lang w:eastAsia="zh-CN"/>
              </w:rPr>
            </w:pPr>
            <w:r>
              <w:rPr>
                <w:rFonts w:hint="eastAsia" w:eastAsiaTheme="minorEastAsia"/>
                <w:sz w:val="21"/>
                <w:szCs w:val="21"/>
                <w:lang w:eastAsia="zh-CN"/>
              </w:rPr>
              <w:t>N</w:t>
            </w:r>
            <w:r>
              <w:rPr>
                <w:rFonts w:hint="default" w:eastAsiaTheme="minorEastAsia"/>
                <w:sz w:val="21"/>
                <w:szCs w:val="21"/>
                <w:lang w:eastAsia="zh-CN"/>
              </w:rPr>
              <w:t>ot to consider HST-SFN and HST-DPS scenario.</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eastAsia="zh-CN"/>
              </w:rPr>
            </w:pPr>
            <w:r>
              <w:rPr>
                <w:rFonts w:hint="default"/>
                <w:sz w:val="21"/>
                <w:szCs w:val="21"/>
                <w:lang w:eastAsia="zh-CN"/>
              </w:rPr>
              <w:t xml:space="preserve">Interested companies are welcome to bring results for 7MHz. </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eastAsia"/>
                <w:sz w:val="21"/>
                <w:szCs w:val="21"/>
                <w:lang w:eastAsia="ko-KR"/>
              </w:rPr>
            </w:pPr>
            <w:r>
              <w:rPr>
                <w:rFonts w:hint="default"/>
                <w:sz w:val="21"/>
                <w:szCs w:val="21"/>
                <w:lang w:eastAsia="ko-KR"/>
              </w:rPr>
              <w:t>FFS how to define requirements:</w:t>
            </w:r>
          </w:p>
          <w:p>
            <w:pPr>
              <w:pStyle w:val="36"/>
              <w:keepNext w:val="0"/>
              <w:keepLines w:val="0"/>
              <w:widowControl/>
              <w:numPr>
                <w:ilvl w:val="1"/>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eastAsiaTheme="minorEastAsia"/>
                <w:sz w:val="21"/>
                <w:szCs w:val="21"/>
                <w:lang w:eastAsia="zh-CN"/>
              </w:rPr>
            </w:pPr>
            <w:r>
              <w:rPr>
                <w:rFonts w:hint="eastAsia" w:eastAsiaTheme="minorEastAsia"/>
                <w:sz w:val="21"/>
                <w:szCs w:val="21"/>
                <w:lang w:eastAsia="zh-CN"/>
              </w:rPr>
              <w:t>O</w:t>
            </w:r>
            <w:r>
              <w:rPr>
                <w:rFonts w:hint="default" w:eastAsiaTheme="minorEastAsia"/>
                <w:sz w:val="21"/>
                <w:szCs w:val="21"/>
                <w:lang w:eastAsia="zh-CN"/>
              </w:rPr>
              <w:t>ption 1: Define new requirements for 7MHz CC based on the simulations</w:t>
            </w:r>
          </w:p>
          <w:p>
            <w:pPr>
              <w:pStyle w:val="36"/>
              <w:keepNext w:val="0"/>
              <w:keepLines w:val="0"/>
              <w:widowControl/>
              <w:numPr>
                <w:ilvl w:val="1"/>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b/>
                <w:bCs/>
                <w:i/>
                <w:iCs/>
                <w:szCs w:val="21"/>
                <w:vertAlign w:val="baseline"/>
                <w:lang w:val="en-US" w:eastAsia="zh-CN"/>
              </w:rPr>
            </w:pPr>
            <w:r>
              <w:rPr>
                <w:rFonts w:hint="eastAsia" w:eastAsiaTheme="minorEastAsia"/>
                <w:sz w:val="21"/>
                <w:szCs w:val="21"/>
                <w:lang w:eastAsia="zh-CN"/>
              </w:rPr>
              <w:t>O</w:t>
            </w:r>
            <w:r>
              <w:rPr>
                <w:rFonts w:hint="default" w:eastAsiaTheme="minorEastAsia"/>
                <w:sz w:val="21"/>
                <w:szCs w:val="21"/>
                <w:lang w:eastAsia="zh-CN"/>
              </w:rPr>
              <w:t>ption 2: Reuse existing 5MHz/10MHz requirements</w:t>
            </w:r>
          </w:p>
        </w:tc>
      </w:tr>
    </w:tbl>
    <w:p>
      <w:pPr>
        <w:rPr>
          <w:rFonts w:hint="eastAsia"/>
          <w:b w:val="0"/>
          <w:bCs/>
          <w:u w:val="none"/>
          <w:lang w:val="en-US" w:eastAsia="zh-CN"/>
        </w:rPr>
      </w:pPr>
      <w:r>
        <w:rPr>
          <w:rFonts w:hint="eastAsia"/>
          <w:b w:val="0"/>
          <w:bCs/>
          <w:u w:val="none"/>
          <w:lang w:val="en-US" w:eastAsia="zh-CN"/>
        </w:rPr>
        <w:t>Regarding the 7MHz demodulation requirements, we listed the current 5MHz and 10MHz requirements as below. It is obviously observe that the requirements between 5MHz and 10MHz are the same.</w:t>
      </w:r>
    </w:p>
    <w:p>
      <w:pPr>
        <w:rPr>
          <w:rFonts w:hint="default"/>
          <w:b/>
          <w:bCs w:val="0"/>
          <w:i/>
          <w:iCs/>
          <w:u w:val="none"/>
          <w:lang w:val="en-US" w:eastAsia="zh-CN"/>
        </w:rPr>
      </w:pPr>
      <w:r>
        <w:rPr>
          <w:rFonts w:hint="eastAsia"/>
          <w:b/>
          <w:bCs w:val="0"/>
          <w:i/>
          <w:iCs/>
          <w:u w:val="none"/>
          <w:lang w:val="en-US" w:eastAsia="zh-CN"/>
        </w:rPr>
        <w:t>Observation 1. Currently, the 5MHz and 10MHz demodulation requirements are the same value in 38.101-4.</w:t>
      </w:r>
    </w:p>
    <w:p>
      <w:pPr>
        <w:rPr>
          <w:b/>
          <w:u w:val="single"/>
          <w:lang w:eastAsia="ko-KR"/>
        </w:rPr>
      </w:pPr>
    </w:p>
    <w:p>
      <w:pPr>
        <w:keepNext/>
        <w:keepLines/>
        <w:spacing w:before="60" w:after="180"/>
        <w:jc w:val="center"/>
        <w:rPr>
          <w:rFonts w:ascii="Arial" w:hAnsi="Arial" w:eastAsia="等线" w:cs="Times New Roman"/>
          <w:b/>
          <w:lang w:val="en-GB" w:eastAsia="en-US" w:bidi="ar-SA"/>
        </w:rPr>
      </w:pPr>
      <w:r>
        <w:rPr>
          <w:rFonts w:ascii="Arial" w:hAnsi="Arial" w:eastAsia="等线" w:cs="Times New Roman"/>
          <w:b/>
          <w:lang w:val="en-GB" w:eastAsia="en-US" w:bidi="ar-SA"/>
        </w:rPr>
        <w:t>Table 5.2A.</w:t>
      </w:r>
      <w:r>
        <w:rPr>
          <w:rFonts w:hint="eastAsia" w:ascii="Arial" w:hAnsi="Arial" w:eastAsia="等线" w:cs="Times New Roman"/>
          <w:b/>
          <w:lang w:val="en-GB" w:eastAsia="zh-CN" w:bidi="ar-SA"/>
        </w:rPr>
        <w:t>2</w:t>
      </w:r>
      <w:r>
        <w:rPr>
          <w:rFonts w:ascii="Arial" w:hAnsi="Arial" w:eastAsia="等线" w:cs="Times New Roman"/>
          <w:b/>
          <w:lang w:val="en-GB" w:eastAsia="en-US" w:bidi="ar-SA"/>
        </w:rPr>
        <w:t>.1-</w:t>
      </w:r>
      <w:r>
        <w:rPr>
          <w:rFonts w:hint="eastAsia" w:ascii="Arial" w:hAnsi="Arial" w:eastAsia="等线" w:cs="Times New Roman"/>
          <w:b/>
          <w:lang w:val="en-GB" w:eastAsia="zh-CN" w:bidi="ar-SA"/>
        </w:rPr>
        <w:t>1</w:t>
      </w:r>
      <w:r>
        <w:rPr>
          <w:rFonts w:ascii="Arial" w:hAnsi="Arial" w:eastAsia="等线" w:cs="Times New Roman"/>
          <w:b/>
          <w:lang w:val="en-GB" w:eastAsia="en-US" w:bidi="ar-SA"/>
        </w:rPr>
        <w:t>: Single carrier performance for FDD 15 kHz SCS for CA configurations</w:t>
      </w:r>
    </w:p>
    <w:tbl>
      <w:tblPr>
        <w:tblStyle w:val="25"/>
        <w:tblW w:w="48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410"/>
        <w:gridCol w:w="1487"/>
        <w:gridCol w:w="1382"/>
        <w:gridCol w:w="1569"/>
        <w:gridCol w:w="1402"/>
        <w:gridCol w:w="1585"/>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744"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r>
              <w:rPr>
                <w:rFonts w:hint="default" w:ascii="Arial" w:hAnsi="Arial" w:eastAsia="等线" w:cs="Times New Roman"/>
                <w:b/>
                <w:sz w:val="18"/>
                <w:szCs w:val="20"/>
                <w:lang w:val="en-GB" w:eastAsia="en-US" w:bidi="ar-SA"/>
              </w:rPr>
              <w:t xml:space="preserve">Bandwidth (MHz) </w:t>
            </w:r>
          </w:p>
        </w:tc>
        <w:tc>
          <w:tcPr>
            <w:tcW w:w="768"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r>
              <w:rPr>
                <w:rFonts w:hint="default" w:ascii="Arial" w:hAnsi="Arial" w:eastAsia="等线" w:cs="Arial"/>
                <w:b/>
                <w:sz w:val="18"/>
                <w:szCs w:val="20"/>
                <w:lang w:val="en-GB" w:eastAsia="en-US" w:bidi="ar-SA"/>
              </w:rPr>
              <w:t>Reference</w:t>
            </w:r>
            <w:r>
              <w:rPr>
                <w:rFonts w:hint="eastAsia" w:ascii="Arial" w:hAnsi="Arial" w:eastAsia="等线" w:cs="Arial"/>
                <w:b/>
                <w:sz w:val="18"/>
                <w:szCs w:val="20"/>
                <w:lang w:val="en-GB" w:eastAsia="zh-CN" w:bidi="ar-SA"/>
              </w:rPr>
              <w:t xml:space="preserve"> </w:t>
            </w:r>
            <w:r>
              <w:rPr>
                <w:rFonts w:hint="default" w:ascii="Arial" w:hAnsi="Arial" w:eastAsia="等线" w:cs="Arial"/>
                <w:b/>
                <w:sz w:val="18"/>
                <w:szCs w:val="20"/>
                <w:lang w:val="en-GB" w:eastAsia="en-US" w:bidi="ar-SA"/>
              </w:rPr>
              <w:t>channel</w:t>
            </w:r>
          </w:p>
        </w:tc>
        <w:tc>
          <w:tcPr>
            <w:tcW w:w="729"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zh-CN" w:bidi="ar-SA"/>
              </w:rPr>
            </w:pPr>
            <w:r>
              <w:rPr>
                <w:rFonts w:hint="default" w:ascii="Arial" w:hAnsi="Arial" w:eastAsia="等线" w:cs="Arial"/>
                <w:b/>
                <w:sz w:val="18"/>
                <w:szCs w:val="20"/>
                <w:lang w:val="en-GB" w:eastAsia="en-US" w:bidi="ar-SA"/>
              </w:rPr>
              <w:t>Modulation format</w:t>
            </w:r>
            <w:r>
              <w:rPr>
                <w:rFonts w:hint="eastAsia" w:ascii="Arial" w:hAnsi="Arial" w:eastAsia="等线" w:cs="Arial"/>
                <w:b/>
                <w:sz w:val="18"/>
                <w:szCs w:val="20"/>
                <w:lang w:val="en-GB" w:eastAsia="zh-CN" w:bidi="ar-SA"/>
              </w:rPr>
              <w:t xml:space="preserve"> and code rate</w:t>
            </w:r>
          </w:p>
        </w:tc>
        <w:tc>
          <w:tcPr>
            <w:tcW w:w="827"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r>
              <w:rPr>
                <w:rFonts w:hint="default" w:ascii="Arial" w:hAnsi="Arial" w:eastAsia="等线" w:cs="Arial"/>
                <w:b/>
                <w:sz w:val="18"/>
                <w:szCs w:val="20"/>
                <w:lang w:val="en-GB" w:eastAsia="en-US" w:bidi="ar-SA"/>
              </w:rPr>
              <w:t>Propagation condition</w:t>
            </w:r>
          </w:p>
        </w:tc>
        <w:tc>
          <w:tcPr>
            <w:tcW w:w="739"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r>
              <w:rPr>
                <w:rFonts w:hint="default" w:ascii="Arial" w:hAnsi="Arial" w:eastAsia="等线" w:cs="Arial"/>
                <w:b/>
                <w:sz w:val="18"/>
                <w:szCs w:val="20"/>
                <w:lang w:val="en-GB" w:eastAsia="en-US" w:bidi="ar-SA"/>
              </w:rPr>
              <w:t>Correlation matrix and antenna configuration</w:t>
            </w:r>
          </w:p>
        </w:tc>
        <w:tc>
          <w:tcPr>
            <w:tcW w:w="1186" w:type="pct"/>
            <w:gridSpan w:val="2"/>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r>
              <w:rPr>
                <w:rFonts w:hint="default" w:ascii="Arial" w:hAnsi="Arial" w:eastAsia="等线" w:cs="Arial"/>
                <w:b/>
                <w:sz w:val="18"/>
                <w:szCs w:val="20"/>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744"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p>
        </w:tc>
        <w:tc>
          <w:tcPr>
            <w:tcW w:w="768"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p>
        </w:tc>
        <w:tc>
          <w:tcPr>
            <w:tcW w:w="729" w:type="pct"/>
            <w:vMerge w:val="continue"/>
            <w:shd w:val="clear" w:color="auto" w:fill="FFFFFF"/>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p>
        </w:tc>
        <w:tc>
          <w:tcPr>
            <w:tcW w:w="827"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p>
        </w:tc>
        <w:tc>
          <w:tcPr>
            <w:tcW w:w="739"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p>
        </w:tc>
        <w:tc>
          <w:tcPr>
            <w:tcW w:w="835"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r>
              <w:rPr>
                <w:rFonts w:hint="default" w:ascii="Arial" w:hAnsi="Arial" w:eastAsia="等线" w:cs="Arial"/>
                <w:b/>
                <w:sz w:val="18"/>
                <w:szCs w:val="20"/>
                <w:lang w:val="en-GB" w:eastAsia="en-US" w:bidi="ar-SA"/>
              </w:rPr>
              <w:t>Fraction of maximum throughput (%)</w:t>
            </w:r>
          </w:p>
        </w:tc>
        <w:tc>
          <w:tcPr>
            <w:tcW w:w="352"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b/>
                <w:sz w:val="18"/>
                <w:szCs w:val="20"/>
                <w:lang w:val="en-GB" w:eastAsia="en-US" w:bidi="ar-SA"/>
              </w:rPr>
            </w:pPr>
            <w:r>
              <w:rPr>
                <w:rFonts w:hint="default" w:ascii="Arial" w:hAnsi="Arial" w:eastAsia="等线" w:cs="Arial"/>
                <w:b/>
                <w:sz w:val="18"/>
                <w:szCs w:val="20"/>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44"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sz w:val="18"/>
                <w:szCs w:val="20"/>
                <w:lang w:val="en-GB" w:eastAsia="en-US" w:bidi="ar-SA"/>
              </w:rPr>
            </w:pPr>
            <w:r>
              <w:rPr>
                <w:rFonts w:hint="default" w:ascii="Arial" w:hAnsi="Arial" w:eastAsia="等线" w:cs="Times New Roman"/>
                <w:sz w:val="18"/>
                <w:szCs w:val="20"/>
                <w:lang w:val="en-GB" w:eastAsia="en-US" w:bidi="ar-SA"/>
              </w:rPr>
              <w:t>5</w:t>
            </w:r>
          </w:p>
        </w:tc>
        <w:tc>
          <w:tcPr>
            <w:tcW w:w="768"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sz w:val="18"/>
                <w:szCs w:val="20"/>
                <w:lang w:val="en-GB" w:eastAsia="en-US" w:bidi="ar-SA"/>
              </w:rPr>
            </w:pPr>
            <w:r>
              <w:rPr>
                <w:rFonts w:hint="default" w:ascii="Arial" w:hAnsi="Arial" w:eastAsia="宋体" w:cs="Times New Roman"/>
                <w:sz w:val="18"/>
                <w:szCs w:val="18"/>
                <w:lang w:val="en-GB" w:eastAsia="en-US" w:bidi="ar-SA"/>
              </w:rPr>
              <w:t>R.PDSCH.1-9.</w:t>
            </w:r>
            <w:r>
              <w:rPr>
                <w:rFonts w:hint="eastAsia" w:ascii="Arial" w:hAnsi="Arial" w:eastAsia="宋体" w:cs="Times New Roman"/>
                <w:sz w:val="18"/>
                <w:szCs w:val="18"/>
                <w:lang w:val="en-GB" w:eastAsia="en-US" w:bidi="ar-SA"/>
              </w:rPr>
              <w:t>1</w:t>
            </w:r>
            <w:r>
              <w:rPr>
                <w:rFonts w:hint="default" w:ascii="Arial" w:hAnsi="Arial" w:eastAsia="宋体" w:cs="Times New Roman"/>
                <w:sz w:val="18"/>
                <w:szCs w:val="18"/>
                <w:lang w:val="en-GB" w:eastAsia="en-US" w:bidi="ar-SA"/>
              </w:rPr>
              <w:t xml:space="preserve"> FDD</w:t>
            </w:r>
          </w:p>
        </w:tc>
        <w:tc>
          <w:tcPr>
            <w:tcW w:w="729"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sz w:val="18"/>
                <w:szCs w:val="20"/>
                <w:lang w:val="en-GB" w:eastAsia="en-US" w:bidi="ar-SA"/>
              </w:rPr>
            </w:pPr>
            <w:r>
              <w:rPr>
                <w:rFonts w:hint="default" w:ascii="Arial" w:hAnsi="Arial" w:eastAsia="等线" w:cs="Times New Roman"/>
                <w:sz w:val="18"/>
                <w:szCs w:val="20"/>
                <w:lang w:val="en-GB" w:eastAsia="en-US" w:bidi="ar-SA"/>
              </w:rPr>
              <w:t>16QAM, 0.48</w:t>
            </w:r>
          </w:p>
        </w:tc>
        <w:tc>
          <w:tcPr>
            <w:tcW w:w="827"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sz w:val="18"/>
                <w:szCs w:val="20"/>
                <w:lang w:val="en-GB" w:eastAsia="en-US" w:bidi="ar-SA"/>
              </w:rPr>
            </w:pPr>
            <w:r>
              <w:rPr>
                <w:rFonts w:hint="default" w:ascii="Arial" w:hAnsi="Arial" w:eastAsia="宋体" w:cs="Arial"/>
                <w:sz w:val="18"/>
                <w:szCs w:val="20"/>
                <w:lang w:val="en-GB" w:eastAsia="en-US" w:bidi="ar-SA"/>
              </w:rPr>
              <w:t>TDLA30-10</w:t>
            </w:r>
          </w:p>
        </w:tc>
        <w:tc>
          <w:tcPr>
            <w:tcW w:w="739"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sz w:val="18"/>
                <w:szCs w:val="20"/>
                <w:lang w:val="en-GB" w:eastAsia="en-US" w:bidi="ar-SA"/>
              </w:rPr>
            </w:pPr>
            <w:r>
              <w:rPr>
                <w:rFonts w:hint="default" w:ascii="Arial" w:hAnsi="Arial" w:eastAsia="宋体" w:cs="Arial"/>
                <w:sz w:val="18"/>
                <w:szCs w:val="20"/>
                <w:lang w:val="en-GB" w:eastAsia="en-US" w:bidi="ar-SA"/>
              </w:rPr>
              <w:t>2x</w:t>
            </w:r>
            <w:r>
              <w:rPr>
                <w:rFonts w:hint="eastAsia" w:ascii="Arial" w:hAnsi="Arial" w:eastAsia="宋体" w:cs="Arial"/>
                <w:sz w:val="18"/>
                <w:szCs w:val="20"/>
                <w:lang w:val="en-GB" w:eastAsia="zh-CN" w:bidi="ar-SA"/>
              </w:rPr>
              <w:t>2</w:t>
            </w:r>
            <w:r>
              <w:rPr>
                <w:rFonts w:hint="default" w:ascii="Arial" w:hAnsi="Arial" w:eastAsia="宋体" w:cs="Arial"/>
                <w:sz w:val="18"/>
                <w:szCs w:val="20"/>
                <w:lang w:val="en-GB" w:eastAsia="en-US" w:bidi="ar-SA"/>
              </w:rPr>
              <w:t>, ULA Low</w:t>
            </w:r>
          </w:p>
        </w:tc>
        <w:tc>
          <w:tcPr>
            <w:tcW w:w="835"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sz w:val="18"/>
                <w:szCs w:val="20"/>
                <w:lang w:val="en-GB" w:eastAsia="en-US" w:bidi="ar-SA"/>
              </w:rPr>
            </w:pPr>
            <w:r>
              <w:rPr>
                <w:rFonts w:hint="default" w:ascii="Arial" w:hAnsi="Arial" w:eastAsia="宋体" w:cs="Arial"/>
                <w:sz w:val="18"/>
                <w:szCs w:val="20"/>
                <w:lang w:val="en-GB" w:eastAsia="en-US" w:bidi="ar-SA"/>
              </w:rPr>
              <w:t>70</w:t>
            </w:r>
          </w:p>
        </w:tc>
        <w:tc>
          <w:tcPr>
            <w:tcW w:w="352"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Arial"/>
                <w:sz w:val="18"/>
                <w:szCs w:val="20"/>
                <w:lang w:val="en-GB" w:eastAsia="zh-CN" w:bidi="ar-SA"/>
              </w:rPr>
            </w:pPr>
            <w:r>
              <w:rPr>
                <w:rFonts w:hint="eastAsia" w:ascii="Arial" w:hAnsi="Arial" w:eastAsia="宋体" w:cs="Arial"/>
                <w:sz w:val="18"/>
                <w:szCs w:val="20"/>
                <w:lang w:val="en-GB" w:eastAsia="zh-CN" w:bidi="ar-SA"/>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44"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zh-CN" w:bidi="ar-SA"/>
              </w:rPr>
            </w:pPr>
            <w:r>
              <w:rPr>
                <w:rFonts w:hint="eastAsia" w:ascii="Arial" w:hAnsi="Arial" w:eastAsia="等线" w:cs="Times New Roman"/>
                <w:sz w:val="18"/>
                <w:szCs w:val="20"/>
                <w:lang w:val="en-GB" w:eastAsia="zh-CN" w:bidi="ar-SA"/>
              </w:rPr>
              <w:t>10</w:t>
            </w:r>
          </w:p>
        </w:tc>
        <w:tc>
          <w:tcPr>
            <w:tcW w:w="768"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GB" w:eastAsia="zh-CN" w:bidi="ar-SA"/>
              </w:rPr>
            </w:pPr>
            <w:r>
              <w:rPr>
                <w:rFonts w:hint="default" w:ascii="Arial" w:hAnsi="Arial" w:eastAsia="宋体" w:cs="Times New Roman"/>
                <w:sz w:val="18"/>
                <w:szCs w:val="20"/>
                <w:lang w:val="en-GB" w:eastAsia="en-US" w:bidi="ar-SA"/>
              </w:rPr>
              <w:t>R.PDSCH.1-2.2 FDD</w:t>
            </w:r>
          </w:p>
        </w:tc>
        <w:tc>
          <w:tcPr>
            <w:tcW w:w="729" w:type="pct"/>
            <w:shd w:val="clear" w:color="auto" w:fill="FFFFFF"/>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16QAM, 0.48</w:t>
            </w:r>
          </w:p>
        </w:tc>
        <w:tc>
          <w:tcPr>
            <w:tcW w:w="827" w:type="pct"/>
            <w:shd w:val="clear" w:color="auto" w:fill="FFFFFF"/>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GB" w:eastAsia="en-US" w:bidi="ar-SA"/>
              </w:rPr>
            </w:pPr>
            <w:r>
              <w:rPr>
                <w:rFonts w:hint="default" w:ascii="Arial" w:hAnsi="Arial" w:eastAsia="宋体" w:cs="Arial"/>
                <w:sz w:val="18"/>
                <w:szCs w:val="20"/>
                <w:lang w:val="en-GB" w:eastAsia="en-US" w:bidi="ar-SA"/>
              </w:rPr>
              <w:t>TDLA30-10</w:t>
            </w:r>
          </w:p>
        </w:tc>
        <w:tc>
          <w:tcPr>
            <w:tcW w:w="739"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GB" w:eastAsia="en-US" w:bidi="ar-SA"/>
              </w:rPr>
            </w:pPr>
            <w:r>
              <w:rPr>
                <w:rFonts w:hint="default" w:ascii="Arial" w:hAnsi="Arial" w:eastAsia="宋体" w:cs="Arial"/>
                <w:sz w:val="18"/>
                <w:szCs w:val="20"/>
                <w:lang w:val="en-GB" w:eastAsia="en-US" w:bidi="ar-SA"/>
              </w:rPr>
              <w:t>2x</w:t>
            </w:r>
            <w:r>
              <w:rPr>
                <w:rFonts w:hint="eastAsia" w:ascii="Arial" w:hAnsi="Arial" w:eastAsia="宋体" w:cs="Arial"/>
                <w:sz w:val="18"/>
                <w:szCs w:val="20"/>
                <w:lang w:val="en-GB" w:eastAsia="zh-CN" w:bidi="ar-SA"/>
              </w:rPr>
              <w:t>2</w:t>
            </w:r>
            <w:r>
              <w:rPr>
                <w:rFonts w:hint="default" w:ascii="Arial" w:hAnsi="Arial" w:eastAsia="宋体" w:cs="Arial"/>
                <w:sz w:val="18"/>
                <w:szCs w:val="20"/>
                <w:lang w:val="en-GB" w:eastAsia="en-US" w:bidi="ar-SA"/>
              </w:rPr>
              <w:t>, ULA Low</w:t>
            </w:r>
          </w:p>
        </w:tc>
        <w:tc>
          <w:tcPr>
            <w:tcW w:w="835"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GB" w:eastAsia="en-US" w:bidi="ar-SA"/>
              </w:rPr>
            </w:pPr>
            <w:r>
              <w:rPr>
                <w:rFonts w:hint="default" w:ascii="Arial" w:hAnsi="Arial" w:eastAsia="宋体" w:cs="Arial"/>
                <w:sz w:val="18"/>
                <w:szCs w:val="20"/>
                <w:lang w:val="en-GB" w:eastAsia="en-US" w:bidi="ar-SA"/>
              </w:rPr>
              <w:t>70</w:t>
            </w:r>
          </w:p>
        </w:tc>
        <w:tc>
          <w:tcPr>
            <w:tcW w:w="352" w:type="pct"/>
            <w:shd w:val="clear" w:color="auto" w:fill="FFFFFF"/>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GB" w:eastAsia="zh-CN" w:bidi="ar-SA"/>
              </w:rPr>
            </w:pPr>
            <w:r>
              <w:rPr>
                <w:rFonts w:hint="eastAsia" w:ascii="Arial" w:hAnsi="Arial" w:eastAsia="宋体" w:cs="Arial"/>
                <w:sz w:val="18"/>
                <w:szCs w:val="20"/>
                <w:lang w:val="en-GB" w:eastAsia="zh-CN" w:bidi="ar-SA"/>
              </w:rPr>
              <w:t>13.6</w:t>
            </w:r>
          </w:p>
        </w:tc>
      </w:tr>
    </w:tbl>
    <w:p>
      <w:pPr>
        <w:rPr>
          <w:b/>
          <w:u w:val="single"/>
          <w:lang w:eastAsia="ko-KR"/>
        </w:rPr>
      </w:pPr>
    </w:p>
    <w:p>
      <w:pPr>
        <w:rPr>
          <w:b/>
          <w:u w:val="single"/>
          <w:lang w:eastAsia="ko-KR"/>
        </w:rPr>
      </w:pPr>
    </w:p>
    <w:p>
      <w:pPr>
        <w:pStyle w:val="58"/>
      </w:pPr>
      <w:r>
        <w:t>Table 5.2A.3.1-1: Single carrier performance for FDD 15 kHz SCS for CA configurations</w:t>
      </w:r>
    </w:p>
    <w:tbl>
      <w:tblPr>
        <w:tblStyle w:val="25"/>
        <w:tblW w:w="48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426"/>
        <w:gridCol w:w="1487"/>
        <w:gridCol w:w="1395"/>
        <w:gridCol w:w="1580"/>
        <w:gridCol w:w="1399"/>
        <w:gridCol w:w="1595"/>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2" w:type="pct"/>
            <w:vMerge w:val="restart"/>
            <w:shd w:val="clear" w:color="auto" w:fill="FFFFFF"/>
            <w:vAlign w:val="center"/>
          </w:tcPr>
          <w:p>
            <w:pPr>
              <w:pStyle w:val="67"/>
              <w:widowControl/>
              <w:suppressLineNumbers w:val="0"/>
              <w:spacing w:before="0" w:beforeAutospacing="0" w:after="0" w:afterAutospacing="0"/>
              <w:ind w:left="0" w:right="0"/>
              <w:rPr>
                <w:rFonts w:hint="default" w:cs="Arial"/>
                <w:szCs w:val="20"/>
              </w:rPr>
            </w:pPr>
            <w:r>
              <w:rPr>
                <w:rFonts w:hint="default"/>
                <w:szCs w:val="20"/>
              </w:rPr>
              <w:t xml:space="preserve">Bandwidth (MHz) </w:t>
            </w:r>
          </w:p>
        </w:tc>
        <w:tc>
          <w:tcPr>
            <w:tcW w:w="777" w:type="pct"/>
            <w:vMerge w:val="restart"/>
            <w:shd w:val="clear" w:color="auto" w:fill="FFFFFF"/>
            <w:vAlign w:val="center"/>
          </w:tcPr>
          <w:p>
            <w:pPr>
              <w:pStyle w:val="67"/>
              <w:widowControl/>
              <w:suppressLineNumbers w:val="0"/>
              <w:spacing w:before="0" w:beforeAutospacing="0" w:after="0" w:afterAutospacing="0"/>
              <w:ind w:left="0" w:right="0"/>
              <w:rPr>
                <w:rFonts w:hint="default" w:cs="Arial"/>
                <w:szCs w:val="20"/>
              </w:rPr>
            </w:pPr>
            <w:r>
              <w:rPr>
                <w:rFonts w:hint="default" w:cs="Arial"/>
                <w:szCs w:val="20"/>
              </w:rPr>
              <w:t>Reference</w:t>
            </w:r>
            <w:r>
              <w:rPr>
                <w:rFonts w:hint="eastAsia" w:cs="Arial"/>
                <w:szCs w:val="20"/>
                <w:lang w:eastAsia="zh-CN"/>
              </w:rPr>
              <w:t xml:space="preserve"> </w:t>
            </w:r>
            <w:r>
              <w:rPr>
                <w:rFonts w:hint="default" w:cs="Arial"/>
                <w:szCs w:val="20"/>
              </w:rPr>
              <w:t>channel</w:t>
            </w:r>
          </w:p>
        </w:tc>
        <w:tc>
          <w:tcPr>
            <w:tcW w:w="736" w:type="pct"/>
            <w:vMerge w:val="restart"/>
            <w:shd w:val="clear" w:color="auto" w:fill="FFFFFF"/>
            <w:vAlign w:val="center"/>
          </w:tcPr>
          <w:p>
            <w:pPr>
              <w:pStyle w:val="67"/>
              <w:widowControl/>
              <w:suppressLineNumbers w:val="0"/>
              <w:spacing w:before="0" w:beforeAutospacing="0" w:after="0" w:afterAutospacing="0"/>
              <w:ind w:left="0" w:right="0"/>
              <w:rPr>
                <w:rFonts w:hint="default" w:cs="Arial"/>
                <w:szCs w:val="20"/>
                <w:lang w:eastAsia="zh-CN"/>
              </w:rPr>
            </w:pPr>
            <w:r>
              <w:rPr>
                <w:rFonts w:hint="default" w:cs="Arial"/>
                <w:szCs w:val="20"/>
              </w:rPr>
              <w:t>Modulation format</w:t>
            </w:r>
            <w:r>
              <w:rPr>
                <w:rFonts w:hint="eastAsia" w:cs="Arial"/>
                <w:szCs w:val="20"/>
                <w:lang w:eastAsia="zh-CN"/>
              </w:rPr>
              <w:t xml:space="preserve"> and code rate</w:t>
            </w:r>
          </w:p>
        </w:tc>
        <w:tc>
          <w:tcPr>
            <w:tcW w:w="833" w:type="pct"/>
            <w:vMerge w:val="restart"/>
            <w:shd w:val="clear" w:color="auto" w:fill="FFFFFF"/>
            <w:vAlign w:val="center"/>
          </w:tcPr>
          <w:p>
            <w:pPr>
              <w:pStyle w:val="67"/>
              <w:widowControl/>
              <w:suppressLineNumbers w:val="0"/>
              <w:spacing w:before="0" w:beforeAutospacing="0" w:after="0" w:afterAutospacing="0"/>
              <w:ind w:left="0" w:right="0"/>
              <w:rPr>
                <w:rFonts w:hint="default" w:cs="Arial"/>
                <w:szCs w:val="20"/>
              </w:rPr>
            </w:pPr>
            <w:r>
              <w:rPr>
                <w:rFonts w:hint="default" w:cs="Arial"/>
                <w:szCs w:val="20"/>
              </w:rPr>
              <w:t>Propagation condition</w:t>
            </w:r>
          </w:p>
        </w:tc>
        <w:tc>
          <w:tcPr>
            <w:tcW w:w="738" w:type="pct"/>
            <w:vMerge w:val="restart"/>
            <w:shd w:val="clear" w:color="auto" w:fill="FFFFFF"/>
            <w:vAlign w:val="center"/>
          </w:tcPr>
          <w:p>
            <w:pPr>
              <w:pStyle w:val="67"/>
              <w:widowControl/>
              <w:suppressLineNumbers w:val="0"/>
              <w:spacing w:before="0" w:beforeAutospacing="0" w:after="0" w:afterAutospacing="0"/>
              <w:ind w:left="0" w:right="0"/>
              <w:rPr>
                <w:rFonts w:hint="default" w:cs="Arial"/>
                <w:szCs w:val="20"/>
              </w:rPr>
            </w:pPr>
            <w:r>
              <w:rPr>
                <w:rFonts w:hint="default" w:cs="Arial"/>
                <w:szCs w:val="20"/>
              </w:rPr>
              <w:t>Correlation matrix and antenna configuration</w:t>
            </w:r>
          </w:p>
        </w:tc>
        <w:tc>
          <w:tcPr>
            <w:tcW w:w="1164" w:type="pct"/>
            <w:gridSpan w:val="2"/>
            <w:shd w:val="clear" w:color="auto" w:fill="FFFFFF"/>
            <w:vAlign w:val="center"/>
          </w:tcPr>
          <w:p>
            <w:pPr>
              <w:pStyle w:val="67"/>
              <w:widowControl/>
              <w:suppressLineNumbers w:val="0"/>
              <w:spacing w:before="0" w:beforeAutospacing="0" w:after="0" w:afterAutospacing="0"/>
              <w:ind w:left="0" w:right="0"/>
              <w:rPr>
                <w:rFonts w:hint="default" w:cs="Arial"/>
                <w:szCs w:val="20"/>
              </w:rPr>
            </w:pPr>
            <w:r>
              <w:rPr>
                <w:rFonts w:hint="default" w:cs="Arial"/>
                <w:szCs w:val="20"/>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2" w:type="pct"/>
            <w:vMerge w:val="continue"/>
            <w:shd w:val="clear" w:color="auto" w:fill="FFFFFF"/>
            <w:vAlign w:val="center"/>
          </w:tcPr>
          <w:p>
            <w:pPr>
              <w:pStyle w:val="67"/>
              <w:widowControl/>
              <w:suppressLineNumbers w:val="0"/>
              <w:spacing w:before="0" w:beforeAutospacing="0" w:after="0" w:afterAutospacing="0"/>
              <w:ind w:left="0" w:right="0"/>
              <w:rPr>
                <w:rFonts w:hint="default" w:cs="Arial"/>
                <w:szCs w:val="20"/>
              </w:rPr>
            </w:pPr>
          </w:p>
        </w:tc>
        <w:tc>
          <w:tcPr>
            <w:tcW w:w="777" w:type="pct"/>
            <w:vMerge w:val="continue"/>
            <w:shd w:val="clear" w:color="auto" w:fill="FFFFFF"/>
            <w:vAlign w:val="center"/>
          </w:tcPr>
          <w:p>
            <w:pPr>
              <w:pStyle w:val="67"/>
              <w:widowControl/>
              <w:suppressLineNumbers w:val="0"/>
              <w:spacing w:before="0" w:beforeAutospacing="0" w:after="0" w:afterAutospacing="0"/>
              <w:ind w:left="0" w:right="0"/>
              <w:rPr>
                <w:rFonts w:hint="default" w:cs="Arial"/>
                <w:szCs w:val="20"/>
              </w:rPr>
            </w:pPr>
          </w:p>
        </w:tc>
        <w:tc>
          <w:tcPr>
            <w:tcW w:w="736" w:type="pct"/>
            <w:vMerge w:val="continue"/>
            <w:shd w:val="clear" w:color="auto" w:fill="FFFFFF"/>
          </w:tcPr>
          <w:p>
            <w:pPr>
              <w:pStyle w:val="67"/>
              <w:widowControl/>
              <w:suppressLineNumbers w:val="0"/>
              <w:spacing w:before="0" w:beforeAutospacing="0" w:after="0" w:afterAutospacing="0"/>
              <w:ind w:left="0" w:right="0"/>
              <w:rPr>
                <w:rFonts w:hint="default" w:cs="Arial"/>
                <w:szCs w:val="20"/>
              </w:rPr>
            </w:pPr>
          </w:p>
        </w:tc>
        <w:tc>
          <w:tcPr>
            <w:tcW w:w="833" w:type="pct"/>
            <w:vMerge w:val="continue"/>
            <w:shd w:val="clear" w:color="auto" w:fill="FFFFFF"/>
            <w:vAlign w:val="center"/>
          </w:tcPr>
          <w:p>
            <w:pPr>
              <w:pStyle w:val="67"/>
              <w:widowControl/>
              <w:suppressLineNumbers w:val="0"/>
              <w:spacing w:before="0" w:beforeAutospacing="0" w:after="0" w:afterAutospacing="0"/>
              <w:ind w:left="0" w:right="0"/>
              <w:rPr>
                <w:rFonts w:hint="default" w:cs="Arial"/>
                <w:szCs w:val="20"/>
              </w:rPr>
            </w:pPr>
          </w:p>
        </w:tc>
        <w:tc>
          <w:tcPr>
            <w:tcW w:w="738" w:type="pct"/>
            <w:vMerge w:val="continue"/>
            <w:shd w:val="clear" w:color="auto" w:fill="FFFFFF"/>
            <w:vAlign w:val="center"/>
          </w:tcPr>
          <w:p>
            <w:pPr>
              <w:pStyle w:val="67"/>
              <w:widowControl/>
              <w:suppressLineNumbers w:val="0"/>
              <w:spacing w:before="0" w:beforeAutospacing="0" w:after="0" w:afterAutospacing="0"/>
              <w:ind w:left="0" w:right="0"/>
              <w:rPr>
                <w:rFonts w:hint="default" w:cs="Arial"/>
                <w:szCs w:val="20"/>
              </w:rPr>
            </w:pPr>
          </w:p>
        </w:tc>
        <w:tc>
          <w:tcPr>
            <w:tcW w:w="841" w:type="pct"/>
            <w:shd w:val="clear" w:color="auto" w:fill="FFFFFF"/>
            <w:vAlign w:val="center"/>
          </w:tcPr>
          <w:p>
            <w:pPr>
              <w:pStyle w:val="67"/>
              <w:widowControl/>
              <w:suppressLineNumbers w:val="0"/>
              <w:spacing w:before="0" w:beforeAutospacing="0" w:after="0" w:afterAutospacing="0"/>
              <w:ind w:left="0" w:right="0"/>
              <w:rPr>
                <w:rFonts w:hint="default" w:cs="Arial"/>
                <w:szCs w:val="20"/>
              </w:rPr>
            </w:pPr>
            <w:r>
              <w:rPr>
                <w:rFonts w:hint="default" w:cs="Arial"/>
                <w:szCs w:val="20"/>
              </w:rPr>
              <w:t>Fraction of maximum throughput (%)</w:t>
            </w:r>
          </w:p>
        </w:tc>
        <w:tc>
          <w:tcPr>
            <w:tcW w:w="323" w:type="pct"/>
            <w:shd w:val="clear" w:color="auto" w:fill="FFFFFF"/>
            <w:vAlign w:val="center"/>
          </w:tcPr>
          <w:p>
            <w:pPr>
              <w:pStyle w:val="67"/>
              <w:widowControl/>
              <w:suppressLineNumbers w:val="0"/>
              <w:spacing w:before="0" w:beforeAutospacing="0" w:after="0" w:afterAutospacing="0"/>
              <w:ind w:left="0" w:right="0"/>
              <w:rPr>
                <w:rFonts w:hint="default" w:cs="Arial"/>
                <w:szCs w:val="20"/>
              </w:rPr>
            </w:pPr>
            <w:r>
              <w:rPr>
                <w:rFonts w:hint="default" w:cs="Arial"/>
                <w:szCs w:val="20"/>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52" w:type="pct"/>
            <w:shd w:val="clear" w:color="auto" w:fill="FFFFFF"/>
            <w:vAlign w:val="center"/>
          </w:tcPr>
          <w:p>
            <w:pPr>
              <w:pStyle w:val="59"/>
              <w:widowControl/>
              <w:suppressLineNumbers w:val="0"/>
              <w:spacing w:before="0" w:beforeAutospacing="0" w:after="0" w:afterAutospacing="0"/>
              <w:ind w:left="0" w:right="0"/>
              <w:rPr>
                <w:rFonts w:hint="default" w:cs="Arial"/>
                <w:szCs w:val="20"/>
              </w:rPr>
            </w:pPr>
            <w:r>
              <w:rPr>
                <w:rFonts w:hint="default"/>
                <w:szCs w:val="20"/>
              </w:rPr>
              <w:t>5</w:t>
            </w:r>
          </w:p>
        </w:tc>
        <w:tc>
          <w:tcPr>
            <w:tcW w:w="777" w:type="pct"/>
            <w:shd w:val="clear" w:color="auto" w:fill="FFFFFF"/>
            <w:vAlign w:val="center"/>
          </w:tcPr>
          <w:p>
            <w:pPr>
              <w:pStyle w:val="59"/>
              <w:widowControl/>
              <w:suppressLineNumbers w:val="0"/>
              <w:spacing w:before="0" w:beforeAutospacing="0" w:after="0" w:afterAutospacing="0"/>
              <w:ind w:left="0" w:right="0"/>
              <w:rPr>
                <w:rFonts w:hint="default" w:cs="Arial"/>
                <w:szCs w:val="20"/>
              </w:rPr>
            </w:pPr>
            <w:r>
              <w:rPr>
                <w:rFonts w:hint="default" w:eastAsia="宋体" w:cs="Arial"/>
                <w:szCs w:val="20"/>
                <w:lang w:eastAsia="zh-CN"/>
              </w:rPr>
              <w:t>R.PDSCH.1-9.1 FDD</w:t>
            </w:r>
          </w:p>
        </w:tc>
        <w:tc>
          <w:tcPr>
            <w:tcW w:w="736" w:type="pct"/>
            <w:shd w:val="clear" w:color="auto" w:fill="FFFFFF"/>
            <w:vAlign w:val="center"/>
          </w:tcPr>
          <w:p>
            <w:pPr>
              <w:pStyle w:val="59"/>
              <w:widowControl/>
              <w:suppressLineNumbers w:val="0"/>
              <w:spacing w:before="0" w:beforeAutospacing="0" w:after="0" w:afterAutospacing="0"/>
              <w:ind w:left="0" w:right="0"/>
              <w:rPr>
                <w:rFonts w:hint="default" w:cs="Arial"/>
                <w:szCs w:val="20"/>
              </w:rPr>
            </w:pPr>
            <w:r>
              <w:rPr>
                <w:rFonts w:hint="default"/>
                <w:szCs w:val="20"/>
              </w:rPr>
              <w:t>16QAM, 0.48</w:t>
            </w:r>
          </w:p>
        </w:tc>
        <w:tc>
          <w:tcPr>
            <w:tcW w:w="833" w:type="pct"/>
            <w:shd w:val="clear" w:color="auto" w:fill="FFFFFF"/>
            <w:vAlign w:val="center"/>
          </w:tcPr>
          <w:p>
            <w:pPr>
              <w:pStyle w:val="59"/>
              <w:widowControl/>
              <w:suppressLineNumbers w:val="0"/>
              <w:spacing w:before="0" w:beforeAutospacing="0" w:after="0" w:afterAutospacing="0"/>
              <w:ind w:left="0" w:right="0"/>
              <w:rPr>
                <w:rFonts w:hint="default" w:cs="Arial"/>
                <w:szCs w:val="20"/>
              </w:rPr>
            </w:pPr>
            <w:r>
              <w:rPr>
                <w:rFonts w:hint="default" w:eastAsia="宋体" w:cs="Arial"/>
                <w:szCs w:val="20"/>
              </w:rPr>
              <w:t>TDLA30-10</w:t>
            </w:r>
          </w:p>
        </w:tc>
        <w:tc>
          <w:tcPr>
            <w:tcW w:w="738" w:type="pct"/>
            <w:shd w:val="clear" w:color="auto" w:fill="FFFFFF"/>
            <w:vAlign w:val="center"/>
          </w:tcPr>
          <w:p>
            <w:pPr>
              <w:pStyle w:val="59"/>
              <w:widowControl/>
              <w:suppressLineNumbers w:val="0"/>
              <w:spacing w:before="0" w:beforeAutospacing="0" w:after="0" w:afterAutospacing="0"/>
              <w:ind w:left="0" w:right="0"/>
              <w:rPr>
                <w:rFonts w:hint="default" w:cs="Arial"/>
                <w:szCs w:val="20"/>
              </w:rPr>
            </w:pPr>
            <w:r>
              <w:rPr>
                <w:rFonts w:hint="default" w:eastAsia="宋体" w:cs="Arial"/>
                <w:szCs w:val="20"/>
              </w:rPr>
              <w:t>2x4, ULA Low</w:t>
            </w:r>
          </w:p>
        </w:tc>
        <w:tc>
          <w:tcPr>
            <w:tcW w:w="841" w:type="pct"/>
            <w:shd w:val="clear" w:color="auto" w:fill="FFFFFF"/>
            <w:vAlign w:val="center"/>
          </w:tcPr>
          <w:p>
            <w:pPr>
              <w:pStyle w:val="59"/>
              <w:widowControl/>
              <w:suppressLineNumbers w:val="0"/>
              <w:spacing w:before="0" w:beforeAutospacing="0" w:after="0" w:afterAutospacing="0"/>
              <w:ind w:left="0" w:right="0"/>
              <w:rPr>
                <w:rFonts w:hint="default" w:cs="Arial"/>
                <w:szCs w:val="20"/>
              </w:rPr>
            </w:pPr>
            <w:r>
              <w:rPr>
                <w:rFonts w:hint="default" w:eastAsia="宋体" w:cs="Arial"/>
                <w:szCs w:val="20"/>
              </w:rPr>
              <w:t>70</w:t>
            </w:r>
          </w:p>
        </w:tc>
        <w:tc>
          <w:tcPr>
            <w:tcW w:w="323" w:type="pct"/>
            <w:shd w:val="clear" w:color="auto" w:fill="FFFFFF"/>
            <w:vAlign w:val="center"/>
          </w:tcPr>
          <w:p>
            <w:pPr>
              <w:pStyle w:val="59"/>
              <w:widowControl/>
              <w:suppressLineNumbers w:val="0"/>
              <w:spacing w:before="0" w:beforeAutospacing="0" w:after="0" w:afterAutospacing="0"/>
              <w:ind w:left="0" w:right="0"/>
              <w:rPr>
                <w:rFonts w:hint="default" w:cs="Arial"/>
                <w:szCs w:val="20"/>
                <w:lang w:eastAsia="zh-CN"/>
              </w:rPr>
            </w:pPr>
            <w:r>
              <w:rPr>
                <w:rFonts w:hint="default" w:eastAsia="宋体" w:cs="Arial"/>
                <w:szCs w:val="20"/>
                <w:lang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52" w:type="pct"/>
            <w:shd w:val="clear" w:color="auto" w:fill="FFFFFF"/>
            <w:vAlign w:val="center"/>
          </w:tcPr>
          <w:p>
            <w:pPr>
              <w:pStyle w:val="59"/>
              <w:widowControl/>
              <w:suppressLineNumbers w:val="0"/>
              <w:spacing w:before="0" w:beforeAutospacing="0" w:after="0" w:afterAutospacing="0"/>
              <w:ind w:left="0" w:right="0"/>
              <w:rPr>
                <w:rFonts w:hint="default"/>
                <w:szCs w:val="20"/>
                <w:lang w:eastAsia="zh-CN"/>
              </w:rPr>
            </w:pPr>
            <w:r>
              <w:rPr>
                <w:rFonts w:hint="eastAsia"/>
                <w:szCs w:val="20"/>
                <w:lang w:eastAsia="zh-CN"/>
              </w:rPr>
              <w:t>10</w:t>
            </w:r>
          </w:p>
        </w:tc>
        <w:tc>
          <w:tcPr>
            <w:tcW w:w="777" w:type="pct"/>
            <w:shd w:val="clear" w:color="auto" w:fill="FFFFFF"/>
            <w:vAlign w:val="center"/>
          </w:tcPr>
          <w:p>
            <w:pPr>
              <w:pStyle w:val="59"/>
              <w:widowControl/>
              <w:suppressLineNumbers w:val="0"/>
              <w:spacing w:before="0" w:beforeAutospacing="0" w:after="0" w:afterAutospacing="0"/>
              <w:ind w:left="0" w:right="0"/>
              <w:rPr>
                <w:rFonts w:hint="default" w:eastAsia="宋体" w:cs="Arial"/>
                <w:szCs w:val="20"/>
                <w:lang w:eastAsia="zh-CN"/>
              </w:rPr>
            </w:pPr>
            <w:bookmarkStart w:id="6" w:name="OLE_LINK5"/>
            <w:r>
              <w:rPr>
                <w:rFonts w:hint="default" w:eastAsia="宋体" w:cs="Arial"/>
                <w:szCs w:val="20"/>
                <w:lang w:eastAsia="zh-CN"/>
              </w:rPr>
              <w:t>R.PDSCH.1-2.2 FDD</w:t>
            </w:r>
            <w:bookmarkEnd w:id="6"/>
          </w:p>
        </w:tc>
        <w:tc>
          <w:tcPr>
            <w:tcW w:w="736" w:type="pct"/>
            <w:shd w:val="clear" w:color="auto" w:fill="FFFFFF"/>
          </w:tcPr>
          <w:p>
            <w:pPr>
              <w:pStyle w:val="59"/>
              <w:widowControl/>
              <w:suppressLineNumbers w:val="0"/>
              <w:spacing w:before="0" w:beforeAutospacing="0" w:after="0" w:afterAutospacing="0"/>
              <w:ind w:left="0" w:right="0"/>
              <w:rPr>
                <w:rFonts w:hint="default"/>
                <w:szCs w:val="20"/>
              </w:rPr>
            </w:pPr>
            <w:r>
              <w:rPr>
                <w:rFonts w:hint="default"/>
                <w:szCs w:val="20"/>
              </w:rPr>
              <w:t>16QAM, 0.48</w:t>
            </w:r>
          </w:p>
        </w:tc>
        <w:tc>
          <w:tcPr>
            <w:tcW w:w="833" w:type="pct"/>
            <w:shd w:val="clear" w:color="auto" w:fill="FFFFFF"/>
          </w:tcPr>
          <w:p>
            <w:pPr>
              <w:pStyle w:val="59"/>
              <w:widowControl/>
              <w:suppressLineNumbers w:val="0"/>
              <w:spacing w:before="0" w:beforeAutospacing="0" w:after="0" w:afterAutospacing="0"/>
              <w:ind w:left="0" w:right="0"/>
              <w:rPr>
                <w:rFonts w:hint="default" w:eastAsia="宋体" w:cs="Arial"/>
                <w:szCs w:val="20"/>
              </w:rPr>
            </w:pPr>
            <w:r>
              <w:rPr>
                <w:rFonts w:hint="default" w:eastAsia="宋体" w:cs="Arial"/>
                <w:szCs w:val="20"/>
              </w:rPr>
              <w:t>TDLA30-10</w:t>
            </w:r>
          </w:p>
        </w:tc>
        <w:tc>
          <w:tcPr>
            <w:tcW w:w="738" w:type="pct"/>
            <w:shd w:val="clear" w:color="auto" w:fill="FFFFFF"/>
            <w:vAlign w:val="center"/>
          </w:tcPr>
          <w:p>
            <w:pPr>
              <w:pStyle w:val="59"/>
              <w:widowControl/>
              <w:suppressLineNumbers w:val="0"/>
              <w:spacing w:before="0" w:beforeAutospacing="0" w:after="0" w:afterAutospacing="0"/>
              <w:ind w:left="0" w:right="0"/>
              <w:rPr>
                <w:rFonts w:hint="default" w:eastAsia="宋体" w:cs="Arial"/>
                <w:szCs w:val="20"/>
              </w:rPr>
            </w:pPr>
            <w:r>
              <w:rPr>
                <w:rFonts w:hint="default" w:eastAsia="宋体" w:cs="Arial"/>
                <w:szCs w:val="20"/>
              </w:rPr>
              <w:t>2x4, ULA Low</w:t>
            </w:r>
          </w:p>
        </w:tc>
        <w:tc>
          <w:tcPr>
            <w:tcW w:w="841" w:type="pct"/>
            <w:shd w:val="clear" w:color="auto" w:fill="FFFFFF"/>
            <w:vAlign w:val="center"/>
          </w:tcPr>
          <w:p>
            <w:pPr>
              <w:pStyle w:val="59"/>
              <w:widowControl/>
              <w:suppressLineNumbers w:val="0"/>
              <w:spacing w:before="0" w:beforeAutospacing="0" w:after="0" w:afterAutospacing="0"/>
              <w:ind w:left="0" w:right="0"/>
              <w:rPr>
                <w:rFonts w:hint="default" w:eastAsia="宋体" w:cs="Arial"/>
                <w:szCs w:val="20"/>
              </w:rPr>
            </w:pPr>
            <w:r>
              <w:rPr>
                <w:rFonts w:hint="default" w:eastAsia="宋体" w:cs="Arial"/>
                <w:szCs w:val="20"/>
              </w:rPr>
              <w:t>70</w:t>
            </w:r>
          </w:p>
        </w:tc>
        <w:tc>
          <w:tcPr>
            <w:tcW w:w="323" w:type="pct"/>
            <w:shd w:val="clear" w:color="auto" w:fill="FFFFFF"/>
            <w:vAlign w:val="center"/>
          </w:tcPr>
          <w:p>
            <w:pPr>
              <w:pStyle w:val="59"/>
              <w:widowControl/>
              <w:suppressLineNumbers w:val="0"/>
              <w:spacing w:before="0" w:beforeAutospacing="0" w:after="0" w:afterAutospacing="0"/>
              <w:ind w:left="0" w:right="0"/>
              <w:rPr>
                <w:rFonts w:hint="default" w:eastAsia="宋体" w:cs="Arial"/>
                <w:szCs w:val="20"/>
                <w:lang w:eastAsia="zh-CN"/>
              </w:rPr>
            </w:pPr>
            <w:r>
              <w:rPr>
                <w:rFonts w:hint="default" w:eastAsia="宋体" w:cs="Arial"/>
                <w:szCs w:val="20"/>
                <w:lang w:eastAsia="zh-CN"/>
              </w:rPr>
              <w:t>8.5</w:t>
            </w:r>
          </w:p>
        </w:tc>
      </w:tr>
    </w:tbl>
    <w:p>
      <w:pPr>
        <w:rPr>
          <w:b/>
          <w:u w:val="single"/>
          <w:lang w:eastAsia="ko-KR"/>
        </w:rPr>
      </w:pPr>
    </w:p>
    <w:p>
      <w:pPr>
        <w:rPr>
          <w:rFonts w:hint="default" w:eastAsia="宋体"/>
          <w:b w:val="0"/>
          <w:bCs/>
          <w:u w:val="none"/>
          <w:lang w:val="en-US" w:eastAsia="zh-CN"/>
        </w:rPr>
      </w:pPr>
      <w:r>
        <w:rPr>
          <w:rFonts w:hint="eastAsia"/>
          <w:b w:val="0"/>
          <w:bCs/>
          <w:u w:val="none"/>
          <w:lang w:val="en-US" w:eastAsia="zh-CN"/>
        </w:rPr>
        <w:t>Also, we evaluated the performance between 5MHz, 7MHz, and 10MHz based on the last meeting simulation assumption. The simulation results could be found in the following part.</w:t>
      </w:r>
    </w:p>
    <w:p>
      <w:pPr>
        <w:rPr>
          <w:b/>
          <w:u w:val="single"/>
          <w:lang w:eastAsia="ko-KR"/>
        </w:rPr>
      </w:pPr>
    </w:p>
    <w:p>
      <w:pPr>
        <w:rPr>
          <w:b/>
          <w:u w:val="single"/>
          <w:lang w:eastAsia="ko-KR"/>
        </w:rPr>
      </w:pPr>
    </w:p>
    <w:p>
      <w:pPr>
        <w:rPr>
          <w:b/>
          <w:u w:val="single"/>
          <w:lang w:eastAsia="ko-KR"/>
        </w:rPr>
      </w:pPr>
    </w:p>
    <w:p>
      <w:pPr>
        <w:jc w:val="center"/>
        <w:rPr>
          <w:rFonts w:hint="default" w:ascii="Arial" w:hAnsi="Arial" w:eastAsia="宋体" w:cs="Times New Roman"/>
          <w:b/>
          <w:kern w:val="2"/>
          <w:sz w:val="21"/>
          <w:lang w:val="en-US" w:eastAsia="zh-CN" w:bidi="ar-SA"/>
        </w:rPr>
      </w:pPr>
      <w:r>
        <w:rPr>
          <w:rFonts w:hint="eastAsia" w:ascii="Arial" w:hAnsi="Arial" w:eastAsia="宋体" w:cs="Times New Roman"/>
          <w:b/>
          <w:kern w:val="2"/>
          <w:sz w:val="21"/>
          <w:lang w:val="en-US" w:eastAsia="zh-CN" w:bidi="ar-SA"/>
        </w:rPr>
        <w:t>Table 1.</w:t>
      </w:r>
      <w:r>
        <w:rPr>
          <w:rFonts w:hint="eastAsia" w:ascii="Arial" w:hAnsi="Arial" w:cs="Times New Roman"/>
          <w:b/>
          <w:kern w:val="2"/>
          <w:sz w:val="21"/>
          <w:lang w:val="en-US" w:eastAsia="zh-CN" w:bidi="ar-SA"/>
        </w:rPr>
        <w:t xml:space="preserve"> FDD 15kHz 2T2R, 5MHz, 7MHz, and 10Mhz</w:t>
      </w:r>
    </w:p>
    <w:tbl>
      <w:tblPr>
        <w:tblStyle w:val="25"/>
        <w:tblW w:w="953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4"/>
        <w:gridCol w:w="887"/>
        <w:gridCol w:w="832"/>
        <w:gridCol w:w="865"/>
        <w:gridCol w:w="840"/>
        <w:gridCol w:w="1080"/>
        <w:gridCol w:w="1253"/>
        <w:gridCol w:w="1260"/>
        <w:gridCol w:w="894"/>
        <w:gridCol w:w="6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7" w:hRule="atLeast"/>
        </w:trPr>
        <w:tc>
          <w:tcPr>
            <w:tcW w:w="100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 xml:space="preserve">Case Number </w:t>
            </w:r>
          </w:p>
        </w:tc>
        <w:tc>
          <w:tcPr>
            <w:tcW w:w="887"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Duplex Mode and SCS</w:t>
            </w:r>
          </w:p>
        </w:tc>
        <w:tc>
          <w:tcPr>
            <w:tcW w:w="832"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CHBW</w:t>
            </w:r>
          </w:p>
        </w:tc>
        <w:tc>
          <w:tcPr>
            <w:tcW w:w="865"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 xml:space="preserve">Rank </w:t>
            </w:r>
          </w:p>
        </w:tc>
        <w:tc>
          <w:tcPr>
            <w:tcW w:w="840"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MIMO</w:t>
            </w:r>
          </w:p>
        </w:tc>
        <w:tc>
          <w:tcPr>
            <w:tcW w:w="1080"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Precoder selection</w:t>
            </w:r>
          </w:p>
        </w:tc>
        <w:tc>
          <w:tcPr>
            <w:tcW w:w="1253"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Channel Model</w:t>
            </w:r>
          </w:p>
        </w:tc>
        <w:tc>
          <w:tcPr>
            <w:tcW w:w="1260"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Antenna correlation</w:t>
            </w:r>
          </w:p>
        </w:tc>
        <w:tc>
          <w:tcPr>
            <w:tcW w:w="89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w:t>
            </w:r>
          </w:p>
        </w:tc>
        <w:tc>
          <w:tcPr>
            <w:tcW w:w="6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both"/>
              <w:textAlignment w:val="center"/>
              <w:rPr>
                <w:rFonts w:hint="default" w:ascii="Calibri" w:hAnsi="Calibri" w:eastAsia="宋体" w:cs="Calibri"/>
                <w:i w:val="0"/>
                <w:iCs w:val="0"/>
                <w:color w:val="000000"/>
                <w:sz w:val="20"/>
                <w:szCs w:val="20"/>
                <w:u w:val="none"/>
                <w:lang w:val="en-US" w:eastAsia="zh-CN"/>
              </w:rPr>
            </w:pPr>
            <w:r>
              <w:rPr>
                <w:rFonts w:hint="eastAsia" w:ascii="Calibri" w:hAnsi="Calibri" w:eastAsia="宋体" w:cs="Calibri"/>
                <w:i w:val="0"/>
                <w:iCs w:val="0"/>
                <w:color w:val="000000"/>
                <w:sz w:val="20"/>
                <w:szCs w:val="20"/>
                <w:u w:val="none"/>
                <w:lang w:val="en-US" w:eastAsia="zh-CN"/>
              </w:rPr>
              <w:t>SNR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w:t>
            </w:r>
          </w:p>
        </w:tc>
        <w:tc>
          <w:tcPr>
            <w:tcW w:w="88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FDD</w:t>
            </w:r>
            <w:r>
              <w:rPr>
                <w:rFonts w:hint="default" w:ascii="Calibri" w:hAnsi="Calibri" w:eastAsia="宋体" w:cs="Calibri"/>
                <w:i w:val="0"/>
                <w:iCs w:val="0"/>
                <w:color w:val="000000"/>
                <w:kern w:val="0"/>
                <w:sz w:val="20"/>
                <w:szCs w:val="20"/>
                <w:u w:val="none"/>
                <w:lang w:val="en-US" w:eastAsia="zh-CN" w:bidi="ar"/>
              </w:rPr>
              <w:br w:type="textWrapping"/>
            </w:r>
            <w:r>
              <w:rPr>
                <w:rFonts w:hint="default" w:ascii="Calibri" w:hAnsi="Calibri" w:eastAsia="宋体" w:cs="Calibri"/>
                <w:i w:val="0"/>
                <w:iCs w:val="0"/>
                <w:color w:val="000000"/>
                <w:kern w:val="0"/>
                <w:sz w:val="20"/>
                <w:szCs w:val="20"/>
                <w:u w:val="none"/>
                <w:lang w:val="en-US" w:eastAsia="zh-CN" w:bidi="ar"/>
              </w:rPr>
              <w:t>15kHz</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5</w:t>
            </w:r>
            <w:r>
              <w:rPr>
                <w:rFonts w:hint="default" w:ascii="Calibri" w:hAnsi="Calibri" w:eastAsia="宋体" w:cs="Calibri"/>
                <w:i w:val="0"/>
                <w:iCs w:val="0"/>
                <w:color w:val="000000"/>
                <w:kern w:val="0"/>
                <w:sz w:val="20"/>
                <w:szCs w:val="20"/>
                <w:u w:val="none"/>
                <w:lang w:val="en-US" w:eastAsia="zh-CN" w:bidi="ar"/>
              </w:rPr>
              <w:t>MHz</w:t>
            </w:r>
          </w:p>
        </w:tc>
        <w:tc>
          <w:tcPr>
            <w:tcW w:w="865"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Rank 2</w:t>
            </w:r>
          </w:p>
        </w:tc>
        <w:tc>
          <w:tcPr>
            <w:tcW w:w="840"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2T2R</w:t>
            </w:r>
          </w:p>
        </w:tc>
        <w:tc>
          <w:tcPr>
            <w:tcW w:w="1080"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Random</w:t>
            </w:r>
          </w:p>
        </w:tc>
        <w:tc>
          <w:tcPr>
            <w:tcW w:w="1253"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1260"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894"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Calibri" w:hAnsi="Calibri" w:eastAsia="宋体" w:cs="Calibri"/>
                <w:i w:val="0"/>
                <w:iCs w:val="0"/>
                <w:color w:val="000000"/>
                <w:sz w:val="20"/>
                <w:szCs w:val="20"/>
                <w:u w:val="none"/>
                <w:lang w:val="en-US" w:eastAsia="zh-CN"/>
              </w:rPr>
            </w:pPr>
            <w:r>
              <w:rPr>
                <w:rFonts w:hint="eastAsia" w:ascii="Calibri" w:hAnsi="Calibri" w:eastAsia="宋体" w:cs="Calibri"/>
                <w:i w:val="0"/>
                <w:iCs w:val="0"/>
                <w:color w:val="000000"/>
                <w:sz w:val="20"/>
                <w:szCs w:val="20"/>
                <w:u w:val="none"/>
                <w:lang w:val="en-US" w:eastAsia="zh-CN"/>
              </w:rPr>
              <w:t>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887"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MHz</w:t>
            </w:r>
          </w:p>
        </w:tc>
        <w:tc>
          <w:tcPr>
            <w:tcW w:w="865"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840"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p>
        </w:tc>
        <w:tc>
          <w:tcPr>
            <w:tcW w:w="1080"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125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1260"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89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Calibri" w:hAnsi="Calibri" w:eastAsia="宋体" w:cs="Calibri"/>
                <w:i w:val="0"/>
                <w:iCs w:val="0"/>
                <w:color w:val="000000"/>
                <w:sz w:val="20"/>
                <w:szCs w:val="20"/>
                <w:u w:val="none"/>
                <w:lang w:val="en-US" w:eastAsia="zh-CN"/>
              </w:rPr>
            </w:pPr>
            <w:r>
              <w:rPr>
                <w:rFonts w:hint="eastAsia" w:ascii="Calibri" w:hAnsi="Calibri" w:eastAsia="宋体" w:cs="Calibri"/>
                <w:i w:val="0"/>
                <w:iCs w:val="0"/>
                <w:color w:val="000000"/>
                <w:sz w:val="20"/>
                <w:szCs w:val="20"/>
                <w:u w:val="none"/>
                <w:lang w:val="en-US" w:eastAsia="zh-CN"/>
              </w:rPr>
              <w:t>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w:t>
            </w:r>
          </w:p>
        </w:tc>
        <w:tc>
          <w:tcPr>
            <w:tcW w:w="88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10</w:t>
            </w:r>
            <w:r>
              <w:rPr>
                <w:rFonts w:hint="default" w:ascii="Calibri" w:hAnsi="Calibri" w:eastAsia="宋体" w:cs="Calibri"/>
                <w:i w:val="0"/>
                <w:iCs w:val="0"/>
                <w:color w:val="000000"/>
                <w:kern w:val="0"/>
                <w:sz w:val="20"/>
                <w:szCs w:val="20"/>
                <w:u w:val="none"/>
                <w:lang w:val="en-US" w:eastAsia="zh-CN" w:bidi="ar"/>
              </w:rPr>
              <w:t>MHz</w:t>
            </w:r>
          </w:p>
        </w:tc>
        <w:tc>
          <w:tcPr>
            <w:tcW w:w="865"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840"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p>
        </w:tc>
        <w:tc>
          <w:tcPr>
            <w:tcW w:w="1080"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1253"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1260"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89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Calibri" w:hAnsi="Calibri" w:eastAsia="宋体" w:cs="Calibri"/>
                <w:i w:val="0"/>
                <w:iCs w:val="0"/>
                <w:color w:val="000000"/>
                <w:sz w:val="20"/>
                <w:szCs w:val="20"/>
                <w:u w:val="none"/>
                <w:lang w:val="en-US" w:eastAsia="zh-CN"/>
              </w:rPr>
            </w:pPr>
            <w:r>
              <w:rPr>
                <w:rFonts w:hint="eastAsia" w:ascii="Calibri" w:hAnsi="Calibri" w:eastAsia="宋体" w:cs="Calibri"/>
                <w:i w:val="0"/>
                <w:iCs w:val="0"/>
                <w:color w:val="000000"/>
                <w:sz w:val="20"/>
                <w:szCs w:val="20"/>
                <w:u w:val="none"/>
                <w:lang w:val="en-US" w:eastAsia="zh-CN"/>
              </w:rPr>
              <w:t>11.6</w:t>
            </w:r>
          </w:p>
        </w:tc>
      </w:tr>
    </w:tbl>
    <w:p>
      <w:pPr>
        <w:rPr>
          <w:b/>
          <w:u w:val="single"/>
          <w:lang w:eastAsia="ko-KR"/>
        </w:rPr>
      </w:pPr>
    </w:p>
    <w:p>
      <w:pPr>
        <w:jc w:val="center"/>
        <w:rPr>
          <w:b/>
          <w:u w:val="single"/>
          <w:lang w:eastAsia="ko-KR"/>
        </w:rPr>
      </w:pPr>
      <w:r>
        <w:rPr>
          <w:rFonts w:hint="eastAsia" w:ascii="Arial" w:hAnsi="Arial" w:eastAsia="宋体" w:cs="Times New Roman"/>
          <w:b/>
          <w:kern w:val="2"/>
          <w:sz w:val="21"/>
          <w:lang w:val="en-US" w:eastAsia="zh-CN" w:bidi="ar-SA"/>
        </w:rPr>
        <w:t xml:space="preserve">Table </w:t>
      </w:r>
      <w:r>
        <w:rPr>
          <w:rFonts w:hint="eastAsia" w:ascii="Arial" w:hAnsi="Arial" w:cs="Times New Roman"/>
          <w:b/>
          <w:kern w:val="2"/>
          <w:sz w:val="21"/>
          <w:lang w:val="en-US" w:eastAsia="zh-CN" w:bidi="ar-SA"/>
        </w:rPr>
        <w:t>2</w:t>
      </w:r>
      <w:r>
        <w:rPr>
          <w:rFonts w:hint="eastAsia" w:ascii="Arial" w:hAnsi="Arial" w:eastAsia="宋体" w:cs="Times New Roman"/>
          <w:b/>
          <w:kern w:val="2"/>
          <w:sz w:val="21"/>
          <w:lang w:val="en-US" w:eastAsia="zh-CN" w:bidi="ar-SA"/>
        </w:rPr>
        <w:t>.</w:t>
      </w:r>
      <w:r>
        <w:rPr>
          <w:rFonts w:hint="eastAsia" w:ascii="Arial" w:hAnsi="Arial" w:cs="Times New Roman"/>
          <w:b/>
          <w:kern w:val="2"/>
          <w:sz w:val="21"/>
          <w:lang w:val="en-US" w:eastAsia="zh-CN" w:bidi="ar-SA"/>
        </w:rPr>
        <w:t xml:space="preserve"> FDD 15kHz 2T4R, 5MHz, 7MHz, and 10Mhz</w:t>
      </w:r>
    </w:p>
    <w:tbl>
      <w:tblPr>
        <w:tblStyle w:val="25"/>
        <w:tblW w:w="953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4"/>
        <w:gridCol w:w="887"/>
        <w:gridCol w:w="832"/>
        <w:gridCol w:w="865"/>
        <w:gridCol w:w="840"/>
        <w:gridCol w:w="1080"/>
        <w:gridCol w:w="1253"/>
        <w:gridCol w:w="1260"/>
        <w:gridCol w:w="894"/>
        <w:gridCol w:w="6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7" w:hRule="atLeast"/>
        </w:trPr>
        <w:tc>
          <w:tcPr>
            <w:tcW w:w="100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 xml:space="preserve">Case Number </w:t>
            </w:r>
          </w:p>
        </w:tc>
        <w:tc>
          <w:tcPr>
            <w:tcW w:w="887"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Duplex Mode and SCS</w:t>
            </w:r>
          </w:p>
        </w:tc>
        <w:tc>
          <w:tcPr>
            <w:tcW w:w="832"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CHBW</w:t>
            </w:r>
          </w:p>
        </w:tc>
        <w:tc>
          <w:tcPr>
            <w:tcW w:w="865"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 xml:space="preserve">Rank </w:t>
            </w:r>
          </w:p>
        </w:tc>
        <w:tc>
          <w:tcPr>
            <w:tcW w:w="840"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MIMO</w:t>
            </w:r>
          </w:p>
        </w:tc>
        <w:tc>
          <w:tcPr>
            <w:tcW w:w="1080"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Precoder selection</w:t>
            </w:r>
          </w:p>
        </w:tc>
        <w:tc>
          <w:tcPr>
            <w:tcW w:w="1253"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Channel Model</w:t>
            </w:r>
          </w:p>
        </w:tc>
        <w:tc>
          <w:tcPr>
            <w:tcW w:w="1260"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Antenna correlation</w:t>
            </w:r>
          </w:p>
        </w:tc>
        <w:tc>
          <w:tcPr>
            <w:tcW w:w="89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w:t>
            </w:r>
          </w:p>
        </w:tc>
        <w:tc>
          <w:tcPr>
            <w:tcW w:w="6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widowControl/>
              <w:suppressLineNumbers w:val="0"/>
              <w:spacing w:before="0" w:beforeAutospacing="0" w:after="0" w:afterAutospacing="0"/>
              <w:ind w:left="0" w:right="0"/>
              <w:jc w:val="both"/>
              <w:textAlignment w:val="center"/>
              <w:rPr>
                <w:rFonts w:hint="default" w:ascii="Calibri" w:hAnsi="Calibri" w:eastAsia="宋体" w:cs="Calibri"/>
                <w:i w:val="0"/>
                <w:iCs w:val="0"/>
                <w:color w:val="000000"/>
                <w:sz w:val="20"/>
                <w:szCs w:val="20"/>
                <w:u w:val="none"/>
                <w:lang w:val="en-US" w:eastAsia="zh-CN"/>
              </w:rPr>
            </w:pPr>
            <w:r>
              <w:rPr>
                <w:rFonts w:hint="eastAsia" w:ascii="Calibri" w:hAnsi="Calibri" w:eastAsia="宋体" w:cs="Calibri"/>
                <w:i w:val="0"/>
                <w:iCs w:val="0"/>
                <w:color w:val="000000"/>
                <w:sz w:val="20"/>
                <w:szCs w:val="20"/>
                <w:u w:val="none"/>
                <w:lang w:val="en-US" w:eastAsia="zh-CN"/>
              </w:rPr>
              <w:t>SNR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4</w:t>
            </w:r>
          </w:p>
        </w:tc>
        <w:tc>
          <w:tcPr>
            <w:tcW w:w="88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FDD</w:t>
            </w:r>
            <w:r>
              <w:rPr>
                <w:rFonts w:hint="default" w:ascii="Calibri" w:hAnsi="Calibri" w:eastAsia="宋体" w:cs="Calibri"/>
                <w:i w:val="0"/>
                <w:iCs w:val="0"/>
                <w:color w:val="000000"/>
                <w:kern w:val="0"/>
                <w:sz w:val="20"/>
                <w:szCs w:val="20"/>
                <w:u w:val="none"/>
                <w:lang w:val="en-US" w:eastAsia="zh-CN" w:bidi="ar"/>
              </w:rPr>
              <w:br w:type="textWrapping"/>
            </w:r>
            <w:r>
              <w:rPr>
                <w:rFonts w:hint="default" w:ascii="Calibri" w:hAnsi="Calibri" w:eastAsia="宋体" w:cs="Calibri"/>
                <w:i w:val="0"/>
                <w:iCs w:val="0"/>
                <w:color w:val="000000"/>
                <w:kern w:val="0"/>
                <w:sz w:val="20"/>
                <w:szCs w:val="20"/>
                <w:u w:val="none"/>
                <w:lang w:val="en-US" w:eastAsia="zh-CN" w:bidi="ar"/>
              </w:rPr>
              <w:t>15kHz</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5</w:t>
            </w:r>
            <w:r>
              <w:rPr>
                <w:rFonts w:hint="default" w:ascii="Calibri" w:hAnsi="Calibri" w:eastAsia="宋体" w:cs="Calibri"/>
                <w:i w:val="0"/>
                <w:iCs w:val="0"/>
                <w:color w:val="000000"/>
                <w:kern w:val="0"/>
                <w:sz w:val="20"/>
                <w:szCs w:val="20"/>
                <w:u w:val="none"/>
                <w:lang w:val="en-US" w:eastAsia="zh-CN" w:bidi="ar"/>
              </w:rPr>
              <w:t>MHz</w:t>
            </w:r>
          </w:p>
        </w:tc>
        <w:tc>
          <w:tcPr>
            <w:tcW w:w="865"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Rank 2</w:t>
            </w:r>
          </w:p>
        </w:tc>
        <w:tc>
          <w:tcPr>
            <w:tcW w:w="840"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w:t>
            </w:r>
            <w:r>
              <w:rPr>
                <w:rFonts w:hint="eastAsia" w:ascii="Calibri" w:hAnsi="Calibri" w:cs="Calibri"/>
                <w:i w:val="0"/>
                <w:iCs w:val="0"/>
                <w:color w:val="000000"/>
                <w:kern w:val="0"/>
                <w:sz w:val="20"/>
                <w:szCs w:val="20"/>
                <w:u w:val="none"/>
                <w:lang w:val="en-US" w:eastAsia="zh-CN" w:bidi="ar"/>
              </w:rPr>
              <w:t>4</w:t>
            </w:r>
            <w:r>
              <w:rPr>
                <w:rFonts w:hint="default" w:ascii="Calibri" w:hAnsi="Calibri" w:eastAsia="宋体" w:cs="Calibri"/>
                <w:i w:val="0"/>
                <w:iCs w:val="0"/>
                <w:color w:val="000000"/>
                <w:kern w:val="0"/>
                <w:sz w:val="20"/>
                <w:szCs w:val="20"/>
                <w:u w:val="none"/>
                <w:lang w:val="en-US" w:eastAsia="zh-CN" w:bidi="ar"/>
              </w:rPr>
              <w:t>R</w:t>
            </w:r>
          </w:p>
        </w:tc>
        <w:tc>
          <w:tcPr>
            <w:tcW w:w="1080"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Random</w:t>
            </w:r>
          </w:p>
        </w:tc>
        <w:tc>
          <w:tcPr>
            <w:tcW w:w="1253"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1260"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894"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5</w:t>
            </w:r>
          </w:p>
        </w:tc>
        <w:tc>
          <w:tcPr>
            <w:tcW w:w="887"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MHz</w:t>
            </w:r>
          </w:p>
        </w:tc>
        <w:tc>
          <w:tcPr>
            <w:tcW w:w="865"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840"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sz w:val="20"/>
                <w:szCs w:val="20"/>
                <w:u w:val="none"/>
              </w:rPr>
            </w:pPr>
          </w:p>
        </w:tc>
        <w:tc>
          <w:tcPr>
            <w:tcW w:w="1080"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125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1260"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894"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6</w:t>
            </w:r>
          </w:p>
        </w:tc>
        <w:tc>
          <w:tcPr>
            <w:tcW w:w="88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10</w:t>
            </w:r>
            <w:r>
              <w:rPr>
                <w:rFonts w:hint="default" w:ascii="Calibri" w:hAnsi="Calibri" w:eastAsia="宋体" w:cs="Calibri"/>
                <w:i w:val="0"/>
                <w:iCs w:val="0"/>
                <w:color w:val="000000"/>
                <w:kern w:val="0"/>
                <w:sz w:val="20"/>
                <w:szCs w:val="20"/>
                <w:u w:val="none"/>
                <w:lang w:val="en-US" w:eastAsia="zh-CN" w:bidi="ar"/>
              </w:rPr>
              <w:t>MHz</w:t>
            </w:r>
          </w:p>
        </w:tc>
        <w:tc>
          <w:tcPr>
            <w:tcW w:w="865"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840"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p>
        </w:tc>
        <w:tc>
          <w:tcPr>
            <w:tcW w:w="1080"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1253"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1260"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894"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6.1</w:t>
            </w:r>
          </w:p>
        </w:tc>
      </w:tr>
    </w:tbl>
    <w:p>
      <w:pPr>
        <w:rPr>
          <w:b/>
          <w:u w:val="single"/>
          <w:lang w:eastAsia="ko-KR"/>
        </w:rPr>
      </w:pPr>
    </w:p>
    <w:p>
      <w:pPr>
        <w:rPr>
          <w:b/>
          <w:u w:val="single"/>
          <w:lang w:eastAsia="ko-KR"/>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5"/>
        <w:gridCol w:w="4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026410" cy="2270125"/>
                  <wp:effectExtent l="0" t="0" r="0" b="0"/>
                  <wp:docPr id="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2"/>
                          <pic:cNvPicPr>
                            <a:picLocks noChangeAspect="1"/>
                          </pic:cNvPicPr>
                        </pic:nvPicPr>
                        <pic:blipFill>
                          <a:blip r:embed="rId12"/>
                          <a:stretch>
                            <a:fillRect/>
                          </a:stretch>
                        </pic:blipFill>
                        <pic:spPr>
                          <a:xfrm>
                            <a:off x="0" y="0"/>
                            <a:ext cx="3026410" cy="2270125"/>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szCs w:val="20"/>
                <w:lang w:eastAsia="ko-KR"/>
              </w:rPr>
            </w:pPr>
            <w:r>
              <w:rPr>
                <w:rFonts w:hint="eastAsia"/>
                <w:szCs w:val="20"/>
                <w:lang w:val="en-US" w:eastAsia="zh-CN"/>
              </w:rPr>
              <w:t>Figure 1. FDD 15kHz 2T2R MCS 13 TDLA 30-10</w:t>
            </w:r>
          </w:p>
        </w:tc>
        <w:tc>
          <w:tcPr>
            <w:tcW w:w="4938"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043555" cy="2284095"/>
                  <wp:effectExtent l="0" t="0" r="0" b="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13"/>
                          <a:stretch>
                            <a:fillRect/>
                          </a:stretch>
                        </pic:blipFill>
                        <pic:spPr>
                          <a:xfrm>
                            <a:off x="0" y="0"/>
                            <a:ext cx="3043555" cy="2284095"/>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宋体"/>
                <w:szCs w:val="20"/>
                <w:lang w:val="en-US" w:eastAsia="zh-CN"/>
              </w:rPr>
            </w:pPr>
            <w:r>
              <w:rPr>
                <w:rFonts w:hint="eastAsia"/>
                <w:szCs w:val="20"/>
                <w:lang w:val="en-US" w:eastAsia="zh-CN"/>
              </w:rPr>
              <w:t>Figure 2. FDD 15kHz 2T4R MCS 13 TDLA 30-10</w:t>
            </w:r>
          </w:p>
        </w:tc>
      </w:tr>
    </w:tbl>
    <w:p>
      <w:pPr>
        <w:rPr>
          <w:b/>
          <w:u w:val="single"/>
          <w:lang w:eastAsia="ko-KR"/>
        </w:rPr>
      </w:pPr>
    </w:p>
    <w:p>
      <w:pPr>
        <w:rPr>
          <w:b/>
          <w:u w:val="single"/>
          <w:lang w:eastAsia="ko-KR"/>
        </w:rPr>
      </w:pPr>
    </w:p>
    <w:p>
      <w:pPr>
        <w:rPr>
          <w:rFonts w:hint="eastAsia" w:ascii="Times New Roman" w:hAnsi="Times New Roman" w:cs="Times New Roman"/>
          <w:b/>
          <w:bCs w:val="0"/>
          <w:i/>
          <w:iCs/>
          <w:u w:val="none"/>
          <w:lang w:val="en-US" w:eastAsia="zh-CN"/>
        </w:rPr>
      </w:pPr>
      <w:r>
        <w:rPr>
          <w:rFonts w:hint="eastAsia" w:ascii="Times New Roman" w:hAnsi="Times New Roman" w:cs="Times New Roman"/>
          <w:b/>
          <w:bCs w:val="0"/>
          <w:i/>
          <w:iCs/>
          <w:u w:val="none"/>
          <w:lang w:val="en-US" w:eastAsia="zh-CN"/>
        </w:rPr>
        <w:t>Observation 2. From our simulation results, the SNR point of 5MHz, 7MHz, and 10MHz are basically the same.</w:t>
      </w:r>
    </w:p>
    <w:p>
      <w:pPr>
        <w:rPr>
          <w:rFonts w:hint="default" w:ascii="Times New Roman" w:hAnsi="Times New Roman" w:cs="Times New Roman"/>
          <w:b/>
          <w:bCs w:val="0"/>
          <w:i/>
          <w:iCs/>
          <w:u w:val="none"/>
          <w:lang w:val="en-US" w:eastAsia="zh-CN"/>
        </w:rPr>
      </w:pPr>
      <w:r>
        <w:rPr>
          <w:rFonts w:hint="eastAsia" w:ascii="Times New Roman" w:hAnsi="Times New Roman" w:cs="Times New Roman"/>
          <w:b/>
          <w:bCs w:val="0"/>
          <w:i/>
          <w:iCs/>
          <w:u w:val="none"/>
          <w:lang w:val="en-US" w:eastAsia="zh-CN"/>
        </w:rPr>
        <w:t>Proposal 1. Propose to reuse current 5MHz and 10MHz requirements for 7MHz.</w:t>
      </w:r>
    </w:p>
    <w:p>
      <w:pPr>
        <w:rPr>
          <w:b/>
          <w:u w:val="single"/>
          <w:lang w:eastAsia="ko-KR"/>
        </w:rPr>
      </w:pPr>
    </w:p>
    <w:p>
      <w:pPr>
        <w:rPr>
          <w:b/>
          <w:u w:val="single"/>
          <w:lang w:eastAsia="ko-KR"/>
        </w:rPr>
      </w:pPr>
      <w:r>
        <w:rPr>
          <w:b/>
          <w:u w:val="single"/>
          <w:lang w:eastAsia="ko-KR"/>
        </w:rPr>
        <w:t>Release independence for 7MHz bandwidth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eastAsia="宋体"/>
                <w:sz w:val="21"/>
                <w:szCs w:val="21"/>
                <w:lang w:eastAsia="zh-CN"/>
              </w:rPr>
            </w:pPr>
            <w:r>
              <w:rPr>
                <w:rFonts w:hint="default" w:eastAsiaTheme="minorEastAsia"/>
                <w:sz w:val="21"/>
                <w:szCs w:val="21"/>
                <w:lang w:eastAsia="zh-CN"/>
              </w:rPr>
              <w:t>Proposals</w:t>
            </w:r>
          </w:p>
          <w:p>
            <w:pPr>
              <w:pStyle w:val="36"/>
              <w:keepNext w:val="0"/>
              <w:keepLines w:val="0"/>
              <w:widowControl/>
              <w:numPr>
                <w:ilvl w:val="1"/>
                <w:numId w:val="11"/>
              </w:numPr>
              <w:suppressLineNumbers w:val="0"/>
              <w:overflowPunct w:val="0"/>
              <w:autoSpaceDE w:val="0"/>
              <w:autoSpaceDN w:val="0"/>
              <w:adjustRightInd w:val="0"/>
              <w:spacing w:before="0" w:beforeAutospacing="0" w:after="180" w:afterAutospacing="0"/>
              <w:ind w:right="0" w:firstLineChars="0"/>
              <w:textAlignment w:val="baseline"/>
              <w:rPr>
                <w:rFonts w:hint="eastAsia"/>
                <w:b w:val="0"/>
                <w:bCs w:val="0"/>
                <w:i w:val="0"/>
                <w:iCs w:val="0"/>
                <w:szCs w:val="21"/>
                <w:vertAlign w:val="baseline"/>
                <w:lang w:val="en-US" w:eastAsia="zh-CN"/>
              </w:rPr>
            </w:pPr>
            <w:r>
              <w:rPr>
                <w:rFonts w:hint="default" w:eastAsiaTheme="minorEastAsia"/>
                <w:sz w:val="21"/>
                <w:szCs w:val="21"/>
                <w:lang w:eastAsia="zh-CN"/>
              </w:rPr>
              <w:t>Option 1: RAN4 to follow the discussion on release independent for support of 7MHz in RF session, once it is agreed, it should also apply to demodulation and CSI requirements.</w:t>
            </w:r>
          </w:p>
        </w:tc>
      </w:tr>
    </w:tbl>
    <w:p>
      <w:pPr>
        <w:rPr>
          <w:rFonts w:hint="default"/>
          <w:b w:val="0"/>
          <w:bCs/>
          <w:i w:val="0"/>
          <w:iCs w:val="0"/>
          <w:szCs w:val="21"/>
          <w:u w:val="none"/>
          <w:lang w:val="en-US" w:eastAsia="zh-CN"/>
        </w:rPr>
      </w:pPr>
      <w:r>
        <w:rPr>
          <w:rFonts w:hint="eastAsia" w:ascii="Times New Roman" w:hAnsi="Times New Roman" w:cs="Times New Roman"/>
          <w:b w:val="0"/>
          <w:bCs/>
          <w:u w:val="none"/>
          <w:lang w:val="en-US" w:eastAsia="zh-CN"/>
        </w:rPr>
        <w:t>In the last meeting, RF session reached a following conclusion for release independent with 7MHz bandwidth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ascii="Times New Roman" w:hAnsi="Times New Roman" w:cs="Times New Roman" w:eastAsiaTheme="minorEastAsia"/>
                <w:sz w:val="21"/>
                <w:szCs w:val="21"/>
                <w:highlight w:val="green"/>
                <w:lang w:val="en-US" w:eastAsia="zh-CN"/>
              </w:rPr>
            </w:pPr>
            <w:r>
              <w:rPr>
                <w:rFonts w:hint="default" w:ascii="Times New Roman" w:hAnsi="Times New Roman" w:cs="Times New Roman" w:eastAsiaTheme="minorEastAsia"/>
                <w:sz w:val="21"/>
                <w:szCs w:val="21"/>
                <w:highlight w:val="green"/>
                <w:lang w:val="en-US" w:eastAsia="zh-CN"/>
              </w:rPr>
              <w:t>Agreement:</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ascii="Times New Roman" w:hAnsi="Times New Roman" w:cs="Times New Roman" w:eastAsiaTheme="minorEastAsia"/>
                <w:sz w:val="21"/>
                <w:szCs w:val="21"/>
                <w:highlight w:val="green"/>
                <w:lang w:val="en-US" w:eastAsia="zh-CN"/>
              </w:rPr>
            </w:pPr>
            <w:r>
              <w:rPr>
                <w:rFonts w:hint="default" w:ascii="Times New Roman" w:hAnsi="Times New Roman" w:cs="Times New Roman" w:eastAsiaTheme="minorEastAsia"/>
                <w:sz w:val="21"/>
                <w:szCs w:val="21"/>
                <w:highlight w:val="green"/>
                <w:lang w:val="en-US" w:eastAsia="zh-CN"/>
              </w:rPr>
              <w:t>Support of 7 MHz channel BW could be Release independent from Rel-15</w:t>
            </w:r>
          </w:p>
          <w:p>
            <w:pPr>
              <w:pStyle w:val="36"/>
              <w:keepNext w:val="0"/>
              <w:keepLines w:val="0"/>
              <w:widowControl/>
              <w:numPr>
                <w:ilvl w:val="1"/>
                <w:numId w:val="10"/>
              </w:numPr>
              <w:suppressLineNumbers w:val="0"/>
              <w:overflowPunct w:val="0"/>
              <w:autoSpaceDE w:val="0"/>
              <w:autoSpaceDN w:val="0"/>
              <w:adjustRightInd w:val="0"/>
              <w:spacing w:before="0" w:beforeAutospacing="0" w:after="180" w:afterAutospacing="0"/>
              <w:ind w:left="840" w:leftChars="0" w:right="0" w:hanging="420" w:firstLineChars="0"/>
              <w:textAlignment w:val="baseline"/>
              <w:rPr>
                <w:rFonts w:hint="default" w:ascii="Times New Roman" w:hAnsi="Times New Roman" w:cs="Times New Roman" w:eastAsiaTheme="minorEastAsia"/>
                <w:sz w:val="21"/>
                <w:szCs w:val="21"/>
                <w:highlight w:val="green"/>
                <w:lang w:val="en-US" w:eastAsia="zh-CN"/>
              </w:rPr>
            </w:pPr>
            <w:r>
              <w:rPr>
                <w:rFonts w:hint="default" w:ascii="Times New Roman" w:hAnsi="Times New Roman" w:cs="Times New Roman" w:eastAsiaTheme="minorEastAsia"/>
                <w:sz w:val="21"/>
                <w:szCs w:val="21"/>
                <w:highlight w:val="green"/>
                <w:lang w:val="en-US" w:eastAsia="zh-CN"/>
              </w:rPr>
              <w:t xml:space="preserve">FFS on if the maximum initial BWP size shall then be restricted to 5 MHz. </w:t>
            </w:r>
          </w:p>
          <w:p>
            <w:pPr>
              <w:pStyle w:val="36"/>
              <w:keepNext w:val="0"/>
              <w:keepLines w:val="0"/>
              <w:widowControl/>
              <w:numPr>
                <w:ilvl w:val="1"/>
                <w:numId w:val="10"/>
              </w:numPr>
              <w:suppressLineNumbers w:val="0"/>
              <w:overflowPunct w:val="0"/>
              <w:autoSpaceDE w:val="0"/>
              <w:autoSpaceDN w:val="0"/>
              <w:adjustRightInd w:val="0"/>
              <w:spacing w:before="0" w:beforeAutospacing="0" w:after="180" w:afterAutospacing="0"/>
              <w:ind w:left="840" w:leftChars="0" w:right="0" w:hanging="420" w:firstLineChars="0"/>
              <w:textAlignment w:val="baseline"/>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highlight w:val="green"/>
                <w:lang w:val="en-US" w:eastAsia="zh-CN"/>
              </w:rPr>
              <w:t>Support of 7MHz is optional in Rel-19 and in the previous releases</w:t>
            </w:r>
            <w:r>
              <w:rPr>
                <w:rFonts w:hint="eastAsia" w:ascii="Times New Roman" w:hAnsi="Times New Roman" w:cs="Times New Roman" w:eastAsiaTheme="minorEastAsia"/>
                <w:sz w:val="21"/>
                <w:szCs w:val="21"/>
                <w:highlight w:val="green"/>
                <w:lang w:val="en-US" w:eastAsia="zh-CN"/>
              </w:rPr>
              <w:t>.</w:t>
            </w:r>
          </w:p>
        </w:tc>
      </w:tr>
    </w:tbl>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Demodulation requirements could be released independently from Rel-15.</w:t>
      </w:r>
    </w:p>
    <w:p>
      <w:pPr>
        <w:widowControl w:val="0"/>
        <w:spacing w:beforeLines="100" w:afterLines="0" w:line="240" w:lineRule="auto"/>
        <w:jc w:val="both"/>
        <w:rPr>
          <w:rFonts w:hint="default"/>
          <w:b w:val="0"/>
          <w:bCs w:val="0"/>
          <w:i w:val="0"/>
          <w:iCs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the </w:t>
      </w:r>
      <w:r>
        <w:rPr>
          <w:rFonts w:hint="eastAsia"/>
          <w:bCs/>
          <w:kern w:val="0"/>
          <w:szCs w:val="21"/>
          <w:lang w:val="en-US" w:eastAsia="zh-CN"/>
        </w:rPr>
        <w:t>UE and BS demodulation requirements for 7MHz channel bandwidth</w:t>
      </w:r>
      <w:r>
        <w:rPr>
          <w:rFonts w:hint="eastAsia"/>
          <w:bCs/>
          <w:kern w:val="0"/>
          <w:szCs w:val="21"/>
        </w:rPr>
        <w:t>, The conclusions are:</w:t>
      </w:r>
    </w:p>
    <w:p>
      <w:pPr>
        <w:rPr>
          <w:rFonts w:hint="default"/>
          <w:b/>
          <w:bCs w:val="0"/>
          <w:i/>
          <w:iCs/>
          <w:u w:val="none"/>
          <w:lang w:val="en-US" w:eastAsia="zh-CN"/>
        </w:rPr>
      </w:pPr>
      <w:r>
        <w:rPr>
          <w:rFonts w:hint="eastAsia"/>
          <w:b/>
          <w:bCs w:val="0"/>
          <w:i/>
          <w:iCs/>
          <w:u w:val="none"/>
          <w:lang w:val="en-US" w:eastAsia="zh-CN"/>
        </w:rPr>
        <w:t>Observation 1. Currently, the 5MHz and 10MHz demodulation requirements are the same value in 38.101-4.</w:t>
      </w:r>
    </w:p>
    <w:p>
      <w:pPr>
        <w:rPr>
          <w:rFonts w:hint="eastAsia" w:ascii="Times New Roman" w:hAnsi="Times New Roman" w:cs="Times New Roman"/>
          <w:b/>
          <w:bCs w:val="0"/>
          <w:i/>
          <w:iCs/>
          <w:u w:val="none"/>
          <w:lang w:val="en-US" w:eastAsia="zh-CN"/>
        </w:rPr>
      </w:pPr>
      <w:r>
        <w:rPr>
          <w:rFonts w:hint="eastAsia" w:ascii="Times New Roman" w:hAnsi="Times New Roman" w:cs="Times New Roman"/>
          <w:b/>
          <w:bCs w:val="0"/>
          <w:i/>
          <w:iCs/>
          <w:u w:val="none"/>
          <w:lang w:val="en-US" w:eastAsia="zh-CN"/>
        </w:rPr>
        <w:t>Observation 2. From our simulation results, the SNR point of 5MHz, 7MHz, and 10MHz are basically the same.</w:t>
      </w:r>
    </w:p>
    <w:p>
      <w:pPr>
        <w:rPr>
          <w:rFonts w:hint="default" w:ascii="Times New Roman" w:hAnsi="Times New Roman" w:cs="Times New Roman"/>
          <w:b/>
          <w:bCs w:val="0"/>
          <w:i/>
          <w:iCs/>
          <w:u w:val="none"/>
          <w:lang w:val="en-US" w:eastAsia="zh-CN"/>
        </w:rPr>
      </w:pPr>
      <w:r>
        <w:rPr>
          <w:rFonts w:hint="eastAsia" w:ascii="Times New Roman" w:hAnsi="Times New Roman" w:cs="Times New Roman"/>
          <w:b/>
          <w:bCs w:val="0"/>
          <w:i/>
          <w:iCs/>
          <w:u w:val="none"/>
          <w:lang w:val="en-US" w:eastAsia="zh-CN"/>
        </w:rPr>
        <w:t>Proposal 1. Propose to reuse current 5MHz and 10MHz requirements for 7MHz.</w:t>
      </w:r>
    </w:p>
    <w:p>
      <w:pPr>
        <w:widowControl w:val="0"/>
        <w:spacing w:beforeLines="100" w:afterLines="0" w:line="240" w:lineRule="auto"/>
        <w:jc w:val="both"/>
        <w:rPr>
          <w:rFonts w:hint="default"/>
          <w:b/>
          <w:bCs/>
          <w:i/>
          <w:iCs/>
          <w:strike w:val="0"/>
          <w:dstrike w:val="0"/>
          <w:szCs w:val="21"/>
          <w:lang w:val="en-US" w:eastAsia="zh-CN"/>
        </w:rPr>
      </w:pPr>
      <w:r>
        <w:rPr>
          <w:rFonts w:hint="eastAsia"/>
          <w:b/>
          <w:bCs/>
          <w:i/>
          <w:iCs/>
          <w:szCs w:val="21"/>
          <w:lang w:val="en-US" w:eastAsia="zh-CN"/>
        </w:rPr>
        <w:t>Proposal 2. Demodulation requirements could be released independently from Rel-15.</w:t>
      </w: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12"/>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RP-243323, New WID on 7 MHz Channel Bandwidth for n26 and n5, China Telecom, T-Mobile USA.</w:t>
      </w:r>
    </w:p>
    <w:p>
      <w:pPr>
        <w:pStyle w:val="36"/>
        <w:numPr>
          <w:ilvl w:val="0"/>
          <w:numId w:val="12"/>
        </w:numPr>
        <w:spacing w:afterLines="0" w:line="259" w:lineRule="auto"/>
        <w:ind w:right="-22"/>
        <w:jc w:val="left"/>
        <w:rPr>
          <w:rFonts w:hint="default" w:eastAsiaTheme="minorHAnsi" w:cstheme="minorBidi"/>
          <w:kern w:val="0"/>
          <w:sz w:val="21"/>
          <w:szCs w:val="21"/>
          <w:lang w:val="en-US"/>
        </w:rPr>
      </w:pPr>
      <w:r>
        <w:rPr>
          <w:rFonts w:hint="default" w:eastAsiaTheme="minorHAnsi" w:cstheme="minorBidi"/>
          <w:kern w:val="0"/>
          <w:sz w:val="21"/>
          <w:szCs w:val="21"/>
          <w:lang w:val="en-US"/>
        </w:rPr>
        <w:t>R4-2508757, WF on demodulation and CSI requirements for 7MHz</w:t>
      </w:r>
      <w:r>
        <w:rPr>
          <w:rFonts w:hint="eastAsia" w:eastAsia="宋体" w:cstheme="minorBidi"/>
          <w:kern w:val="0"/>
          <w:sz w:val="21"/>
          <w:szCs w:val="21"/>
          <w:lang w:val="en-US" w:eastAsia="zh-CN"/>
        </w:rPr>
        <w:t>, Huawei, HiSilicon.</w:t>
      </w: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F944FFE"/>
    <w:multiLevelType w:val="multilevel"/>
    <w:tmpl w:val="0F944F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B883038"/>
    <w:multiLevelType w:val="multilevel"/>
    <w:tmpl w:val="2B883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FE21EB4"/>
    <w:multiLevelType w:val="multilevel"/>
    <w:tmpl w:val="2FE21E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宋体" w:hAnsi="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8">
    <w:nsid w:val="3F6832A6"/>
    <w:multiLevelType w:val="multilevel"/>
    <w:tmpl w:val="3F6832A6"/>
    <w:lvl w:ilvl="0" w:tentative="0">
      <w:start w:val="1"/>
      <w:numFmt w:val="bullet"/>
      <w:pStyle w:val="80"/>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58B7268D"/>
    <w:multiLevelType w:val="multilevel"/>
    <w:tmpl w:val="58B7268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1">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11"/>
  </w:num>
  <w:num w:numId="3">
    <w:abstractNumId w:val="6"/>
  </w:num>
  <w:num w:numId="4">
    <w:abstractNumId w:val="7"/>
  </w:num>
  <w:num w:numId="5">
    <w:abstractNumId w:val="1"/>
  </w:num>
  <w:num w:numId="6">
    <w:abstractNumId w:val="0"/>
  </w:num>
  <w:num w:numId="7">
    <w:abstractNumId w:val="8"/>
  </w:num>
  <w:num w:numId="8">
    <w:abstractNumId w:val="4"/>
  </w:num>
  <w:num w:numId="9">
    <w:abstractNumId w:val="9"/>
  </w:num>
  <w:num w:numId="10">
    <w:abstractNumId w:val="3"/>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787FF0"/>
    <w:rsid w:val="088178D8"/>
    <w:rsid w:val="0888678D"/>
    <w:rsid w:val="0889002B"/>
    <w:rsid w:val="088F053E"/>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56843"/>
    <w:rsid w:val="0CE76B48"/>
    <w:rsid w:val="0CF62FDB"/>
    <w:rsid w:val="0CFB523A"/>
    <w:rsid w:val="0D2132FE"/>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371C9"/>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BB7F86"/>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714296"/>
    <w:rsid w:val="18812331"/>
    <w:rsid w:val="18816F1C"/>
    <w:rsid w:val="18853F3E"/>
    <w:rsid w:val="18945127"/>
    <w:rsid w:val="18956393"/>
    <w:rsid w:val="18A8582C"/>
    <w:rsid w:val="18B50543"/>
    <w:rsid w:val="18CD7A02"/>
    <w:rsid w:val="18F86F87"/>
    <w:rsid w:val="19001FFC"/>
    <w:rsid w:val="190E2B4A"/>
    <w:rsid w:val="19256D7A"/>
    <w:rsid w:val="19322C83"/>
    <w:rsid w:val="193275C2"/>
    <w:rsid w:val="19337933"/>
    <w:rsid w:val="19394FD2"/>
    <w:rsid w:val="193D63F7"/>
    <w:rsid w:val="19413FB3"/>
    <w:rsid w:val="194E2932"/>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E4B5A"/>
    <w:rsid w:val="1A612F84"/>
    <w:rsid w:val="1A672B1C"/>
    <w:rsid w:val="1A8301C0"/>
    <w:rsid w:val="1A872248"/>
    <w:rsid w:val="1A9B2279"/>
    <w:rsid w:val="1A9E6232"/>
    <w:rsid w:val="1AA74D3D"/>
    <w:rsid w:val="1AB34DB4"/>
    <w:rsid w:val="1AB613FD"/>
    <w:rsid w:val="1ABD5F72"/>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7265B"/>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9F18CF"/>
    <w:rsid w:val="1EA77730"/>
    <w:rsid w:val="1EC36E9D"/>
    <w:rsid w:val="1EDE4CB0"/>
    <w:rsid w:val="1EE25FDD"/>
    <w:rsid w:val="1EF5103F"/>
    <w:rsid w:val="1F090F9B"/>
    <w:rsid w:val="1F0E5D6B"/>
    <w:rsid w:val="1F486F19"/>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90807"/>
    <w:rsid w:val="205A5AA0"/>
    <w:rsid w:val="20773A28"/>
    <w:rsid w:val="20814938"/>
    <w:rsid w:val="208574F4"/>
    <w:rsid w:val="208F6BAF"/>
    <w:rsid w:val="20964C98"/>
    <w:rsid w:val="209A6308"/>
    <w:rsid w:val="20A062EA"/>
    <w:rsid w:val="20A462BA"/>
    <w:rsid w:val="20A976E7"/>
    <w:rsid w:val="20BF2AAC"/>
    <w:rsid w:val="20C849C7"/>
    <w:rsid w:val="20DF66D2"/>
    <w:rsid w:val="20EC3F2E"/>
    <w:rsid w:val="20EC7C3E"/>
    <w:rsid w:val="21050673"/>
    <w:rsid w:val="210548E9"/>
    <w:rsid w:val="21124D15"/>
    <w:rsid w:val="213E7119"/>
    <w:rsid w:val="21560D8F"/>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DC5399"/>
    <w:rsid w:val="23F70BA5"/>
    <w:rsid w:val="23F7263A"/>
    <w:rsid w:val="23F93D0D"/>
    <w:rsid w:val="24025806"/>
    <w:rsid w:val="2405417E"/>
    <w:rsid w:val="24096754"/>
    <w:rsid w:val="241B5C62"/>
    <w:rsid w:val="244D1709"/>
    <w:rsid w:val="245872F9"/>
    <w:rsid w:val="245943D9"/>
    <w:rsid w:val="245E6B64"/>
    <w:rsid w:val="2463385E"/>
    <w:rsid w:val="246B247D"/>
    <w:rsid w:val="24967323"/>
    <w:rsid w:val="249D5FC8"/>
    <w:rsid w:val="24A1538E"/>
    <w:rsid w:val="24A3442A"/>
    <w:rsid w:val="24B918AE"/>
    <w:rsid w:val="24B9450F"/>
    <w:rsid w:val="24C83F94"/>
    <w:rsid w:val="24F60CDA"/>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00191"/>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E34792A"/>
    <w:rsid w:val="2E423D71"/>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4F6ACD"/>
    <w:rsid w:val="33540E5D"/>
    <w:rsid w:val="335A0521"/>
    <w:rsid w:val="335B0187"/>
    <w:rsid w:val="335E7B11"/>
    <w:rsid w:val="3364318B"/>
    <w:rsid w:val="33691888"/>
    <w:rsid w:val="336A499A"/>
    <w:rsid w:val="33704CF3"/>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23DDE"/>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CD775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D0DA1"/>
    <w:rsid w:val="40BE4949"/>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59696B"/>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CC0463"/>
    <w:rsid w:val="44DC46EB"/>
    <w:rsid w:val="44E95F5D"/>
    <w:rsid w:val="44F03F8F"/>
    <w:rsid w:val="44F14ECF"/>
    <w:rsid w:val="45275172"/>
    <w:rsid w:val="452754C3"/>
    <w:rsid w:val="45332511"/>
    <w:rsid w:val="453C48A0"/>
    <w:rsid w:val="45412C46"/>
    <w:rsid w:val="454D500A"/>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5E26BE3"/>
    <w:rsid w:val="460C5979"/>
    <w:rsid w:val="460C6D7B"/>
    <w:rsid w:val="460F18AE"/>
    <w:rsid w:val="46110AB3"/>
    <w:rsid w:val="46143B66"/>
    <w:rsid w:val="46214325"/>
    <w:rsid w:val="4624673F"/>
    <w:rsid w:val="463246EC"/>
    <w:rsid w:val="463A3547"/>
    <w:rsid w:val="464E25C4"/>
    <w:rsid w:val="46555DC3"/>
    <w:rsid w:val="465C7B10"/>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23D9"/>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2E30FF"/>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2B430C"/>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A4E54"/>
    <w:rsid w:val="4EDB58B2"/>
    <w:rsid w:val="4EE925CE"/>
    <w:rsid w:val="4EEF2E30"/>
    <w:rsid w:val="4EF24828"/>
    <w:rsid w:val="4EFE7F59"/>
    <w:rsid w:val="4F171C50"/>
    <w:rsid w:val="4F285975"/>
    <w:rsid w:val="4F290E6D"/>
    <w:rsid w:val="4F2A7BF3"/>
    <w:rsid w:val="4F2C6371"/>
    <w:rsid w:val="4F2E2624"/>
    <w:rsid w:val="4F431C53"/>
    <w:rsid w:val="4F4A2FB1"/>
    <w:rsid w:val="4F4B49E4"/>
    <w:rsid w:val="4F4E1077"/>
    <w:rsid w:val="4F546156"/>
    <w:rsid w:val="4F610AE8"/>
    <w:rsid w:val="4F843B05"/>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5770DA"/>
    <w:rsid w:val="525A1C6E"/>
    <w:rsid w:val="525E17DE"/>
    <w:rsid w:val="52687B2A"/>
    <w:rsid w:val="526E0E82"/>
    <w:rsid w:val="52734F68"/>
    <w:rsid w:val="527901C6"/>
    <w:rsid w:val="52A24532"/>
    <w:rsid w:val="52A45841"/>
    <w:rsid w:val="52B3363A"/>
    <w:rsid w:val="52B87DC4"/>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6284"/>
    <w:rsid w:val="562C1706"/>
    <w:rsid w:val="5632642A"/>
    <w:rsid w:val="56327A2B"/>
    <w:rsid w:val="56375B61"/>
    <w:rsid w:val="564944F4"/>
    <w:rsid w:val="564E5820"/>
    <w:rsid w:val="565E6D49"/>
    <w:rsid w:val="56630C00"/>
    <w:rsid w:val="5665416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656CA"/>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01D54"/>
    <w:rsid w:val="5C8542A8"/>
    <w:rsid w:val="5C975416"/>
    <w:rsid w:val="5CA1479B"/>
    <w:rsid w:val="5CA6294E"/>
    <w:rsid w:val="5CAB7154"/>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5F7360"/>
    <w:rsid w:val="5E627FC7"/>
    <w:rsid w:val="5E6A5399"/>
    <w:rsid w:val="5E71373F"/>
    <w:rsid w:val="5E717191"/>
    <w:rsid w:val="5E795832"/>
    <w:rsid w:val="5E830708"/>
    <w:rsid w:val="5E831398"/>
    <w:rsid w:val="5E85633A"/>
    <w:rsid w:val="5E8E174C"/>
    <w:rsid w:val="5E921A45"/>
    <w:rsid w:val="5E975993"/>
    <w:rsid w:val="5EB51FDE"/>
    <w:rsid w:val="5EBA4472"/>
    <w:rsid w:val="5ECA3D37"/>
    <w:rsid w:val="5EE153F8"/>
    <w:rsid w:val="5EED7893"/>
    <w:rsid w:val="5EF10381"/>
    <w:rsid w:val="5F0A3A61"/>
    <w:rsid w:val="5F2E4AEA"/>
    <w:rsid w:val="5F4F1B95"/>
    <w:rsid w:val="5F683B6E"/>
    <w:rsid w:val="5F875C0C"/>
    <w:rsid w:val="5F8F0B9E"/>
    <w:rsid w:val="5F8F267A"/>
    <w:rsid w:val="5F9C0E79"/>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EB1D82"/>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58183A"/>
    <w:rsid w:val="6B736A2E"/>
    <w:rsid w:val="6B8170D6"/>
    <w:rsid w:val="6B884219"/>
    <w:rsid w:val="6B90781F"/>
    <w:rsid w:val="6B974370"/>
    <w:rsid w:val="6B9C76AD"/>
    <w:rsid w:val="6BA9194F"/>
    <w:rsid w:val="6BAC41DA"/>
    <w:rsid w:val="6BAE64BE"/>
    <w:rsid w:val="6BE727F5"/>
    <w:rsid w:val="6BEE7CAA"/>
    <w:rsid w:val="6BF34791"/>
    <w:rsid w:val="6BF36ABE"/>
    <w:rsid w:val="6BFA1963"/>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B70C76"/>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6E0720"/>
    <w:rsid w:val="77806994"/>
    <w:rsid w:val="77825248"/>
    <w:rsid w:val="7785098B"/>
    <w:rsid w:val="77870D91"/>
    <w:rsid w:val="778A3229"/>
    <w:rsid w:val="779258CC"/>
    <w:rsid w:val="7794068F"/>
    <w:rsid w:val="77975AFC"/>
    <w:rsid w:val="779A096B"/>
    <w:rsid w:val="779B52FF"/>
    <w:rsid w:val="77A00E75"/>
    <w:rsid w:val="77A01DC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C5707E"/>
    <w:rsid w:val="79D33056"/>
    <w:rsid w:val="79D82BB5"/>
    <w:rsid w:val="79EC0256"/>
    <w:rsid w:val="79F60153"/>
    <w:rsid w:val="79FB6E2C"/>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A2BD1"/>
    <w:rsid w:val="7C576C70"/>
    <w:rsid w:val="7C77043F"/>
    <w:rsid w:val="7C895074"/>
    <w:rsid w:val="7C8A7CDC"/>
    <w:rsid w:val="7C924172"/>
    <w:rsid w:val="7C9E5A24"/>
    <w:rsid w:val="7CAB7A96"/>
    <w:rsid w:val="7CB4006B"/>
    <w:rsid w:val="7CB92AA1"/>
    <w:rsid w:val="7CB93ABB"/>
    <w:rsid w:val="7CE07E97"/>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DFB1EBB"/>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 w:type="paragraph" w:customStyle="1" w:styleId="80">
    <w:name w:val="缩进1proposal"/>
    <w:basedOn w:val="36"/>
    <w:qFormat/>
    <w:uiPriority w:val="0"/>
    <w:pPr>
      <w:widowControl w:val="0"/>
      <w:numPr>
        <w:ilvl w:val="0"/>
        <w:numId w:val="7"/>
      </w:numPr>
      <w:overflowPunct/>
      <w:spacing w:after="50"/>
      <w:ind w:firstLine="0" w:firstLineChars="0"/>
      <w:jc w:val="both"/>
      <w:textAlignment w:val="auto"/>
    </w:pPr>
    <w:rPr>
      <w:rFonts w:ascii="Times" w:hAnsi="Times" w:eastAsia="微软雅黑"/>
      <w:b/>
      <w:lang w:val="en-US" w:eastAsia="zh-CN"/>
    </w:rPr>
  </w:style>
  <w:style w:type="paragraph" w:customStyle="1" w:styleId="81">
    <w:name w:val="proposal"/>
    <w:basedOn w:val="1"/>
    <w:qFormat/>
    <w:uiPriority w:val="0"/>
    <w:pPr>
      <w:overflowPunct/>
      <w:autoSpaceDE/>
      <w:autoSpaceDN/>
      <w:adjustRightInd/>
      <w:spacing w:after="50" w:afterLines="50"/>
      <w:jc w:val="both"/>
      <w:textAlignment w:val="auto"/>
    </w:pPr>
    <w:rPr>
      <w:rFonts w:cs="宋体"/>
      <w:b/>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cp:lastModifiedBy>
  <dcterms:modified xsi:type="dcterms:W3CDTF">2025-08-15T12:27:38Z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BCAC50F3B8124BD3A5E23544F20100B4</vt:lpwstr>
  </property>
</Properties>
</file>